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14.xml" ContentType="application/vnd.ms-office.chartcolorstyle+xml"/>
  <Override PartName="/word/charts/colors15.xml" ContentType="application/vnd.ms-office.chartcolorstyle+xml"/>
  <Override PartName="/word/charts/colors16.xml" ContentType="application/vnd.ms-office.chartcolorstyle+xml"/>
  <Override PartName="/word/charts/colors17.xml" ContentType="application/vnd.ms-office.chartcolorstyle+xml"/>
  <Override PartName="/word/charts/colors18.xml" ContentType="application/vnd.ms-office.chartcolorstyle+xml"/>
  <Override PartName="/word/charts/colors19.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14.xml" ContentType="application/vnd.ms-office.chartstyle+xml"/>
  <Override PartName="/word/charts/style15.xml" ContentType="application/vnd.ms-office.chartstyle+xml"/>
  <Override PartName="/word/charts/style16.xml" ContentType="application/vnd.ms-office.chartstyle+xml"/>
  <Override PartName="/word/charts/style17.xml" ContentType="application/vnd.ms-office.chartstyle+xml"/>
  <Override PartName="/word/charts/style18.xml" ContentType="application/vnd.ms-office.chartstyle+xml"/>
  <Override PartName="/word/charts/style19.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10.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Override PartName="/word/theme/themeOverride13.xml" ContentType="application/vnd.openxmlformats-officedocument.themeOverride+xml"/>
  <Override PartName="/word/theme/themeOverride14.xml" ContentType="application/vnd.openxmlformats-officedocument.themeOverride+xml"/>
  <Override PartName="/word/theme/themeOverride15.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theme/themeOverride8.xml" ContentType="application/vnd.openxmlformats-officedocument.themeOverride+xml"/>
  <Override PartName="/word/theme/themeOverride9.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82E62">
      <w:pPr>
        <w:rPr>
          <w:rFonts w:ascii="微软雅黑" w:hAnsi="微软雅黑" w:eastAsia="微软雅黑" w:cs="微软雅黑"/>
        </w:rPr>
      </w:pPr>
      <w:r>
        <w:rPr>
          <w:rFonts w:ascii="微软雅黑" w:hAnsi="微软雅黑" w:eastAsia="微软雅黑" w:cs="微软雅黑"/>
        </w:rPr>
        <w:drawing>
          <wp:anchor distT="0" distB="0" distL="114300" distR="114300" simplePos="0" relativeHeight="251663360" behindDoc="0" locked="0" layoutInCell="1" allowOverlap="1">
            <wp:simplePos x="0" y="0"/>
            <wp:positionH relativeFrom="page">
              <wp:posOffset>3862070</wp:posOffset>
            </wp:positionH>
            <wp:positionV relativeFrom="paragraph">
              <wp:posOffset>-363220</wp:posOffset>
            </wp:positionV>
            <wp:extent cx="3248025" cy="728980"/>
            <wp:effectExtent l="0" t="0" r="0" b="0"/>
            <wp:wrapTopAndBottom/>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248025" cy="728884"/>
                    </a:xfrm>
                    <a:prstGeom prst="rect">
                      <a:avLst/>
                    </a:prstGeom>
                    <a:noFill/>
                  </pic:spPr>
                </pic:pic>
              </a:graphicData>
            </a:graphic>
          </wp:anchor>
        </w:drawing>
      </w:r>
      <w:r>
        <w:drawing>
          <wp:anchor distT="0" distB="0" distL="114300" distR="114300" simplePos="0" relativeHeight="251666432" behindDoc="1" locked="0" layoutInCell="1" allowOverlap="1">
            <wp:simplePos x="0" y="0"/>
            <wp:positionH relativeFrom="page">
              <wp:posOffset>-829310</wp:posOffset>
            </wp:positionH>
            <wp:positionV relativeFrom="page">
              <wp:posOffset>296545</wp:posOffset>
            </wp:positionV>
            <wp:extent cx="7568565" cy="10706100"/>
            <wp:effectExtent l="0" t="0" r="13335" b="0"/>
            <wp:wrapNone/>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8565" cy="10706100"/>
                    </a:xfrm>
                    <a:prstGeom prst="rect">
                      <a:avLst/>
                    </a:prstGeom>
                  </pic:spPr>
                </pic:pic>
              </a:graphicData>
            </a:graphic>
          </wp:anchor>
        </w:drawing>
      </w:r>
    </w:p>
    <w:p w14:paraId="029F100C">
      <w:pPr>
        <w:rPr>
          <w:rFonts w:ascii="微软雅黑" w:hAnsi="微软雅黑" w:eastAsia="微软雅黑" w:cs="微软雅黑"/>
        </w:rPr>
      </w:pPr>
    </w:p>
    <w:p w14:paraId="0A725846">
      <w:pPr>
        <w:tabs>
          <w:tab w:val="left" w:pos="5388"/>
        </w:tabs>
        <w:jc w:val="left"/>
        <w:rPr>
          <w:rFonts w:ascii="微软雅黑" w:hAnsi="微软雅黑" w:eastAsia="微软雅黑" w:cs="微软雅黑"/>
          <w:b/>
          <w:color w:val="3333CC"/>
          <w:sz w:val="52"/>
          <w:szCs w:val="52"/>
        </w:rPr>
      </w:pPr>
    </w:p>
    <w:p w14:paraId="6F942350">
      <w:pPr>
        <w:rPr>
          <w:rFonts w:ascii="微软雅黑" w:hAnsi="微软雅黑" w:eastAsia="微软雅黑" w:cs="微软雅黑"/>
        </w:rPr>
      </w:pPr>
    </w:p>
    <w:p w14:paraId="29E92284">
      <w:pPr>
        <w:rPr>
          <w:rFonts w:ascii="微软雅黑" w:hAnsi="微软雅黑" w:eastAsia="微软雅黑" w:cs="微软雅黑"/>
        </w:rPr>
      </w:pPr>
    </w:p>
    <w:p w14:paraId="0A2A582F">
      <w:pPr>
        <w:rPr>
          <w:rFonts w:ascii="微软雅黑" w:hAnsi="微软雅黑" w:eastAsia="微软雅黑" w:cs="微软雅黑"/>
        </w:rPr>
      </w:pPr>
    </w:p>
    <w:p w14:paraId="1F504A15">
      <w:pPr>
        <w:rPr>
          <w:rFonts w:ascii="微软雅黑" w:hAnsi="微软雅黑" w:eastAsia="微软雅黑" w:cs="微软雅黑"/>
        </w:rPr>
      </w:pPr>
      <w:r>
        <w:rPr>
          <w:sz w:val="21"/>
        </w:rPr>
        <mc:AlternateContent>
          <mc:Choice Requires="wps">
            <w:drawing>
              <wp:anchor distT="0" distB="0" distL="114300" distR="114300" simplePos="0" relativeHeight="251659264" behindDoc="0" locked="0" layoutInCell="1" allowOverlap="1">
                <wp:simplePos x="0" y="0"/>
                <wp:positionH relativeFrom="column">
                  <wp:posOffset>-624205</wp:posOffset>
                </wp:positionH>
                <wp:positionV relativeFrom="paragraph">
                  <wp:posOffset>112395</wp:posOffset>
                </wp:positionV>
                <wp:extent cx="3194685" cy="877570"/>
                <wp:effectExtent l="0" t="0" r="5715" b="17780"/>
                <wp:wrapNone/>
                <wp:docPr id="21" name="文本框 21"/>
                <wp:cNvGraphicFramePr/>
                <a:graphic xmlns:a="http://schemas.openxmlformats.org/drawingml/2006/main">
                  <a:graphicData uri="http://schemas.microsoft.com/office/word/2010/wordprocessingShape">
                    <wps:wsp>
                      <wps:cNvSpPr txBox="1"/>
                      <wps:spPr>
                        <a:xfrm>
                          <a:off x="1268095" y="3164205"/>
                          <a:ext cx="3194685" cy="8775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4EAB85">
                            <w:pPr>
                              <w:rPr>
                                <w:rFonts w:hint="default" w:eastAsiaTheme="minorEastAsia"/>
                                <w:b/>
                                <w:bCs/>
                                <w:color w:val="000000" w:themeColor="text1"/>
                                <w:sz w:val="52"/>
                                <w:szCs w:val="52"/>
                                <w:lang w:val="en-US" w:eastAsia="zh-CN"/>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solidFill>
                                    <w14:schemeClr w14:val="tx1"/>
                                  </w14:solidFill>
                                </w14:textFill>
                                <w14:props3d w14:extrusionH="0" w14:contourW="0" w14:prstMaterial="clear"/>
                              </w:rPr>
                            </w:pPr>
                            <w:r>
                              <w:rPr>
                                <w:rFonts w:hint="eastAsia"/>
                                <w:b/>
                                <w:bCs/>
                                <w:color w:val="000000" w:themeColor="text1"/>
                                <w:sz w:val="52"/>
                                <w:szCs w:val="52"/>
                                <w:lang w:val="en-US" w:eastAsia="zh-CN"/>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solidFill>
                                    <w14:schemeClr w14:val="tx1"/>
                                  </w14:solidFill>
                                </w14:textFill>
                                <w14:props3d w14:extrusionH="0" w14:contourW="0" w14:prstMaterial="clear"/>
                              </w:rPr>
                              <w:t>阜新高等专科学校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15pt;margin-top:8.85pt;height:69.1pt;width:251.55pt;z-index:251659264;mso-width-relative:page;mso-height-relative:page;" fillcolor="#FFFFFF [3201]" filled="t" stroked="f" coordsize="21600,21600" o:gfxdata="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iD&#10;Fk/VAAAACgEAAA8AAAAAAAAAAQAgAAAAIgAAAGRycy9kb3ducmV2LnhtbFBLAQIUABQAAAAIAIdO&#10;4kBu1NboXwIAAJ0EAAAOAAAAAAAAAAEAIAAAACQBAABkcnMvZTJvRG9jLnhtbFBLBQYAAAAABgAG&#10;AFkBAAD1BQAAAAA=&#10;">
                <v:fill on="t" focussize="0,0"/>
                <v:stroke on="f" weight="0.5pt"/>
                <v:imagedata o:title=""/>
                <o:lock v:ext="edit" aspectratio="f"/>
                <v:textbox>
                  <w:txbxContent>
                    <w:p w14:paraId="764EAB85">
                      <w:pPr>
                        <w:rPr>
                          <w:rFonts w:hint="default" w:eastAsiaTheme="minorEastAsia"/>
                          <w:b/>
                          <w:bCs/>
                          <w:color w:val="000000" w:themeColor="text1"/>
                          <w:sz w:val="52"/>
                          <w:szCs w:val="52"/>
                          <w:lang w:val="en-US" w:eastAsia="zh-CN"/>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solidFill>
                              <w14:schemeClr w14:val="tx1"/>
                            </w14:solidFill>
                          </w14:textFill>
                          <w14:props3d w14:extrusionH="0" w14:contourW="0" w14:prstMaterial="clear"/>
                        </w:rPr>
                      </w:pPr>
                      <w:r>
                        <w:rPr>
                          <w:rFonts w:hint="eastAsia"/>
                          <w:b/>
                          <w:bCs/>
                          <w:color w:val="000000" w:themeColor="text1"/>
                          <w:sz w:val="52"/>
                          <w:szCs w:val="52"/>
                          <w:lang w:val="en-US" w:eastAsia="zh-CN"/>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solidFill>
                              <w14:schemeClr w14:val="tx1"/>
                            </w14:solidFill>
                          </w14:textFill>
                          <w14:props3d w14:extrusionH="0" w14:contourW="0" w14:prstMaterial="clear"/>
                        </w:rPr>
                        <w:t>阜新高等专科学校</w:t>
                      </w:r>
                    </w:p>
                  </w:txbxContent>
                </v:textbox>
              </v:shape>
            </w:pict>
          </mc:Fallback>
        </mc:AlternateContent>
      </w:r>
    </w:p>
    <w:p w14:paraId="4C98FE36">
      <w:pPr>
        <w:rPr>
          <w:rFonts w:ascii="微软雅黑" w:hAnsi="微软雅黑" w:eastAsia="微软雅黑" w:cs="微软雅黑"/>
        </w:rPr>
      </w:pPr>
      <w:r>
        <w:rPr>
          <w:sz w:val="21"/>
        </w:rPr>
        <mc:AlternateContent>
          <mc:Choice Requires="wps">
            <w:drawing>
              <wp:anchor distT="0" distB="0" distL="114300" distR="114300" simplePos="0" relativeHeight="251665408" behindDoc="0" locked="0" layoutInCell="1" allowOverlap="1">
                <wp:simplePos x="0" y="0"/>
                <wp:positionH relativeFrom="column">
                  <wp:posOffset>434340</wp:posOffset>
                </wp:positionH>
                <wp:positionV relativeFrom="paragraph">
                  <wp:posOffset>1181735</wp:posOffset>
                </wp:positionV>
                <wp:extent cx="5556250" cy="10160"/>
                <wp:effectExtent l="0" t="13970" r="6350" b="33020"/>
                <wp:wrapNone/>
                <wp:docPr id="20" name="直接连接符 20"/>
                <wp:cNvGraphicFramePr/>
                <a:graphic xmlns:a="http://schemas.openxmlformats.org/drawingml/2006/main">
                  <a:graphicData uri="http://schemas.microsoft.com/office/word/2010/wordprocessingShape">
                    <wps:wsp>
                      <wps:cNvCnPr/>
                      <wps:spPr>
                        <a:xfrm>
                          <a:off x="1183640" y="4424045"/>
                          <a:ext cx="5556250" cy="10160"/>
                        </a:xfrm>
                        <a:prstGeom prst="line">
                          <a:avLst/>
                        </a:prstGeom>
                        <a:ln w="28575" cmpd="sng">
                          <a:solidFill>
                            <a:schemeClr val="accent1">
                              <a:lumMod val="75000"/>
                            </a:schemeClr>
                          </a:solidFill>
                          <a:prstDash val="sysDot"/>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4.2pt;margin-top:93.05pt;height:0.8pt;width:437.5pt;z-index:251665408;mso-width-relative:page;mso-height-relative:page;" filled="f" stroked="t" coordsize="21600,21600" o:gfxdata="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Cu7NfXAAAACgEAAA8AAAAAAAAAAQAgAAAA&#10;IgAAAGRycy9kb3ducmV2LnhtbFBLAQIUABQAAAAIAIdO4kAXnm3bDAIAAOcDAAAOAAAAAAAAAAEA&#10;IAAAACYBAABkcnMvZTJvRG9jLnhtbFBLBQYAAAAABgAGAFkBAACkBQAAAAA=&#10;">
                <v:fill on="f" focussize="0,0"/>
                <v:stroke weight="2.25pt" color="#2E75B6 [2404]" miterlimit="8" joinstyle="miter" dashstyle="1 1"/>
                <v:imagedata o:title=""/>
                <o:lock v:ext="edit" aspectratio="f"/>
              </v:lin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-708660</wp:posOffset>
                </wp:positionH>
                <wp:positionV relativeFrom="paragraph">
                  <wp:posOffset>493395</wp:posOffset>
                </wp:positionV>
                <wp:extent cx="5344795" cy="10160"/>
                <wp:effectExtent l="0" t="15875" r="8255" b="31115"/>
                <wp:wrapNone/>
                <wp:docPr id="4" name="直接连接符 4"/>
                <wp:cNvGraphicFramePr/>
                <a:graphic xmlns:a="http://schemas.openxmlformats.org/drawingml/2006/main">
                  <a:graphicData uri="http://schemas.microsoft.com/office/word/2010/wordprocessingShape">
                    <wps:wsp>
                      <wps:cNvCnPr/>
                      <wps:spPr>
                        <a:xfrm flipV="1">
                          <a:off x="612140" y="4773295"/>
                          <a:ext cx="5344795" cy="10160"/>
                        </a:xfrm>
                        <a:prstGeom prst="line">
                          <a:avLst/>
                        </a:prstGeom>
                        <a:ln w="31750"/>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55.8pt;margin-top:38.85pt;height:0.8pt;width:420.85pt;z-index:251664384;mso-width-relative:page;mso-height-relative:page;" filled="f" stroked="t" coordsize="21600,21600" o:gfxdata="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IbSRPaAAAACgEAAA8AAAAAAAAAAQAgAAAAIgAAAGRy&#10;cy9kb3ducmV2LnhtbFBLAQIUABQAAAAIAIdO4kBe6f/KAwIAAMsDAAAOAAAAAAAAAAEAIAAAACkB&#10;AABkcnMvZTJvRG9jLnhtbFBLBQYAAAAABgAGAFkBAACeBQAAAAA=&#10;">
                <v:fill on="f" focussize="0,0"/>
                <v:stroke weight="2.5pt" color="#5B9BD5 [3204]" miterlimit="8" joinstyle="miter"/>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ragraph">
                  <wp:posOffset>391795</wp:posOffset>
                </wp:positionV>
                <wp:extent cx="7579360" cy="1506220"/>
                <wp:effectExtent l="0" t="0" r="0" b="0"/>
                <wp:wrapSquare wrapText="bothSides"/>
                <wp:docPr id="5" name="文本框 5"/>
                <wp:cNvGraphicFramePr/>
                <a:graphic xmlns:a="http://schemas.openxmlformats.org/drawingml/2006/main">
                  <a:graphicData uri="http://schemas.microsoft.com/office/word/2010/wordprocessingShape">
                    <wps:wsp>
                      <wps:cNvSpPr txBox="1"/>
                      <wps:spPr>
                        <a:xfrm>
                          <a:off x="0" y="0"/>
                          <a:ext cx="7579360" cy="15062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BD8940">
                            <w:pPr>
                              <w:jc w:val="center"/>
                              <w:rPr>
                                <w:rFonts w:ascii="微软雅黑" w:hAnsi="微软雅黑" w:eastAsia="微软雅黑" w:cs="微软雅黑"/>
                                <w:b/>
                                <w:bCs/>
                                <w:color w:val="262626" w:themeColor="text1" w:themeTint="D9"/>
                                <w:sz w:val="20"/>
                                <w:szCs w:val="20"/>
                                <w14:textFill>
                                  <w14:solidFill>
                                    <w14:schemeClr w14:val="tx1">
                                      <w14:lumMod w14:val="85000"/>
                                      <w14:lumOff w14:val="15000"/>
                                    </w14:schemeClr>
                                  </w14:solidFill>
                                </w14:textFill>
                              </w:rPr>
                            </w:pPr>
                            <w:r>
                              <w:rPr>
                                <w:rFonts w:hint="eastAsia" w:ascii="微软雅黑" w:hAnsi="微软雅黑" w:eastAsia="微软雅黑" w:cs="微软雅黑"/>
                                <w:b/>
                                <w:bCs/>
                                <w:color w:val="262626" w:themeColor="text1" w:themeTint="D9"/>
                                <w:sz w:val="72"/>
                                <w:szCs w:val="72"/>
                                <w14:textFill>
                                  <w14:solidFill>
                                    <w14:schemeClr w14:val="tx1">
                                      <w14:lumMod w14:val="85000"/>
                                      <w14:lumOff w14:val="15000"/>
                                    </w14:schemeClr>
                                  </w14:solidFill>
                                </w14:textFill>
                              </w:rPr>
                              <w:t>202</w:t>
                            </w:r>
                            <w:r>
                              <w:rPr>
                                <w:rFonts w:hint="eastAsia" w:ascii="微软雅黑" w:hAnsi="微软雅黑" w:eastAsia="微软雅黑" w:cs="微软雅黑"/>
                                <w:b/>
                                <w:bCs/>
                                <w:color w:val="262626" w:themeColor="text1" w:themeTint="D9"/>
                                <w:sz w:val="72"/>
                                <w:szCs w:val="72"/>
                                <w:lang w:val="en-US" w:eastAsia="zh-CN"/>
                                <w14:textFill>
                                  <w14:solidFill>
                                    <w14:schemeClr w14:val="tx1">
                                      <w14:lumMod w14:val="85000"/>
                                      <w14:lumOff w14:val="15000"/>
                                    </w14:schemeClr>
                                  </w14:solidFill>
                                </w14:textFill>
                              </w:rPr>
                              <w:t>5</w:t>
                            </w:r>
                            <w:r>
                              <w:rPr>
                                <w:rFonts w:hint="eastAsia" w:ascii="微软雅黑" w:hAnsi="微软雅黑" w:eastAsia="微软雅黑" w:cs="微软雅黑"/>
                                <w:b/>
                                <w:bCs/>
                                <w:color w:val="262626" w:themeColor="text1" w:themeTint="D9"/>
                                <w:sz w:val="72"/>
                                <w:szCs w:val="72"/>
                                <w14:textFill>
                                  <w14:solidFill>
                                    <w14:schemeClr w14:val="tx1">
                                      <w14:lumMod w14:val="85000"/>
                                      <w14:lumOff w14:val="15000"/>
                                    </w14:schemeClr>
                                  </w14:solidFill>
                                </w14:textFill>
                              </w:rPr>
                              <w:t>年大专毕业生就业质量报告</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pt;margin-top:30.85pt;height:118.6pt;width:596.8pt;mso-position-horizontal-relative:page;mso-wrap-distance-bottom:0pt;mso-wrap-distance-left:9pt;mso-wrap-distance-right:9pt;mso-wrap-distance-top:0pt;z-index:251660288;mso-width-relative:page;mso-height-relative:page;" filled="f" stroked="f" coordsize="21600,21600" o:gfxdata="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0n2qC2QAAAAgBAAAPAAAAAAAAAAEAIAAAACIAAABk&#10;cnMvZG93bnJldi54bWxQSwECFAAUAAAACACHTuJA5cxL9D4CAABnBAAADgAAAAAAAAABACAAAAAo&#10;AQAAZHJzL2Uyb0RvYy54bWxQSwUGAAAAAAYABgBZAQAA2AUAAAAA&#10;">
                <v:fill on="f" focussize="0,0"/>
                <v:stroke on="f" weight="0.5pt"/>
                <v:imagedata o:title=""/>
                <o:lock v:ext="edit" aspectratio="f"/>
                <v:textbox>
                  <w:txbxContent>
                    <w:p w14:paraId="7EBD8940">
                      <w:pPr>
                        <w:jc w:val="center"/>
                        <w:rPr>
                          <w:rFonts w:ascii="微软雅黑" w:hAnsi="微软雅黑" w:eastAsia="微软雅黑" w:cs="微软雅黑"/>
                          <w:b/>
                          <w:bCs/>
                          <w:color w:val="262626" w:themeColor="text1" w:themeTint="D9"/>
                          <w:sz w:val="20"/>
                          <w:szCs w:val="20"/>
                          <w14:textFill>
                            <w14:solidFill>
                              <w14:schemeClr w14:val="tx1">
                                <w14:lumMod w14:val="85000"/>
                                <w14:lumOff w14:val="15000"/>
                              </w14:schemeClr>
                            </w14:solidFill>
                          </w14:textFill>
                        </w:rPr>
                      </w:pPr>
                      <w:r>
                        <w:rPr>
                          <w:rFonts w:hint="eastAsia" w:ascii="微软雅黑" w:hAnsi="微软雅黑" w:eastAsia="微软雅黑" w:cs="微软雅黑"/>
                          <w:b/>
                          <w:bCs/>
                          <w:color w:val="262626" w:themeColor="text1" w:themeTint="D9"/>
                          <w:sz w:val="72"/>
                          <w:szCs w:val="72"/>
                          <w14:textFill>
                            <w14:solidFill>
                              <w14:schemeClr w14:val="tx1">
                                <w14:lumMod w14:val="85000"/>
                                <w14:lumOff w14:val="15000"/>
                              </w14:schemeClr>
                            </w14:solidFill>
                          </w14:textFill>
                        </w:rPr>
                        <w:t>202</w:t>
                      </w:r>
                      <w:r>
                        <w:rPr>
                          <w:rFonts w:hint="eastAsia" w:ascii="微软雅黑" w:hAnsi="微软雅黑" w:eastAsia="微软雅黑" w:cs="微软雅黑"/>
                          <w:b/>
                          <w:bCs/>
                          <w:color w:val="262626" w:themeColor="text1" w:themeTint="D9"/>
                          <w:sz w:val="72"/>
                          <w:szCs w:val="72"/>
                          <w:lang w:val="en-US" w:eastAsia="zh-CN"/>
                          <w14:textFill>
                            <w14:solidFill>
                              <w14:schemeClr w14:val="tx1">
                                <w14:lumMod w14:val="85000"/>
                                <w14:lumOff w14:val="15000"/>
                              </w14:schemeClr>
                            </w14:solidFill>
                          </w14:textFill>
                        </w:rPr>
                        <w:t>5</w:t>
                      </w:r>
                      <w:r>
                        <w:rPr>
                          <w:rFonts w:hint="eastAsia" w:ascii="微软雅黑" w:hAnsi="微软雅黑" w:eastAsia="微软雅黑" w:cs="微软雅黑"/>
                          <w:b/>
                          <w:bCs/>
                          <w:color w:val="262626" w:themeColor="text1" w:themeTint="D9"/>
                          <w:sz w:val="72"/>
                          <w:szCs w:val="72"/>
                          <w14:textFill>
                            <w14:solidFill>
                              <w14:schemeClr w14:val="tx1">
                                <w14:lumMod w14:val="85000"/>
                                <w14:lumOff w14:val="15000"/>
                              </w14:schemeClr>
                            </w14:solidFill>
                          </w14:textFill>
                        </w:rPr>
                        <w:t>年大专毕业生就业质量报告</w:t>
                      </w:r>
                    </w:p>
                  </w:txbxContent>
                </v:textbox>
                <w10:wrap type="square"/>
              </v:shape>
            </w:pict>
          </mc:Fallback>
        </mc:AlternateContent>
      </w:r>
    </w:p>
    <w:p w14:paraId="31EF7CBA">
      <w:pPr>
        <w:rPr>
          <w:rFonts w:ascii="微软雅黑" w:hAnsi="微软雅黑" w:eastAsia="微软雅黑" w:cs="微软雅黑"/>
        </w:rPr>
      </w:pPr>
    </w:p>
    <w:p w14:paraId="6EA72858">
      <w:pPr>
        <w:rPr>
          <w:rFonts w:ascii="微软雅黑" w:hAnsi="微软雅黑" w:eastAsia="微软雅黑" w:cs="微软雅黑"/>
        </w:rPr>
      </w:pPr>
    </w:p>
    <w:p w14:paraId="0B9AFF7A">
      <w:pPr>
        <w:tabs>
          <w:tab w:val="left" w:pos="5370"/>
        </w:tabs>
        <w:rPr>
          <w:rFonts w:ascii="微软雅黑" w:hAnsi="微软雅黑" w:eastAsia="微软雅黑" w:cs="微软雅黑"/>
        </w:rPr>
      </w:pPr>
    </w:p>
    <w:p w14:paraId="6DF63F68">
      <w:pPr>
        <w:tabs>
          <w:tab w:val="left" w:pos="5370"/>
        </w:tabs>
        <w:rPr>
          <w:rFonts w:ascii="微软雅黑" w:hAnsi="微软雅黑" w:eastAsia="微软雅黑" w:cs="微软雅黑"/>
        </w:rPr>
      </w:pPr>
    </w:p>
    <w:p w14:paraId="7DD57911">
      <w:pPr>
        <w:tabs>
          <w:tab w:val="left" w:pos="5370"/>
        </w:tabs>
        <w:rPr>
          <w:rFonts w:ascii="微软雅黑" w:hAnsi="微软雅黑" w:eastAsia="微软雅黑" w:cs="微软雅黑"/>
        </w:rPr>
      </w:pPr>
    </w:p>
    <w:p w14:paraId="40752405">
      <w:pPr>
        <w:tabs>
          <w:tab w:val="left" w:pos="5370"/>
        </w:tabs>
        <w:rPr>
          <w:rFonts w:ascii="微软雅黑" w:hAnsi="微软雅黑" w:eastAsia="微软雅黑" w:cs="微软雅黑"/>
        </w:rPr>
      </w:pPr>
      <w:r>
        <w:rPr>
          <w:rFonts w:ascii="微软雅黑" w:hAnsi="微软雅黑" w:eastAsia="微软雅黑" w:cs="微软雅黑"/>
        </w:rPr>
        <w:tab/>
      </w:r>
    </w:p>
    <w:p w14:paraId="33A83F97">
      <w:pPr>
        <w:rPr>
          <w:rFonts w:ascii="宋体" w:hAnsi="宋体" w:eastAsia="宋体" w:cs="宋体"/>
          <w:b/>
          <w:bCs/>
          <w:sz w:val="44"/>
          <w:szCs w:val="44"/>
        </w:rPr>
      </w:pPr>
    </w:p>
    <w:sdt>
      <w:sdtPr>
        <w:rPr>
          <w:rFonts w:ascii="宋体" w:hAnsi="宋体" w:eastAsia="宋体" w:cs="宋体"/>
          <w:b/>
          <w:bCs/>
          <w:sz w:val="44"/>
          <w:szCs w:val="44"/>
        </w:rPr>
        <w:id w:val="147466754"/>
        <w:docPartObj>
          <w:docPartGallery w:val="Table of Contents"/>
          <w:docPartUnique/>
        </w:docPartObj>
      </w:sdtPr>
      <w:sdtEndPr>
        <w:rPr>
          <w:rFonts w:hint="eastAsia" w:ascii="微软雅黑" w:hAnsi="微软雅黑" w:eastAsia="微软雅黑" w:cs="微软雅黑"/>
          <w:b/>
          <w:bCs/>
          <w:sz w:val="21"/>
          <w:szCs w:val="21"/>
        </w:rPr>
      </w:sdtEndPr>
      <w:sdtContent>
        <w:p w14:paraId="6B051D47">
          <w:pPr>
            <w:spacing w:line="360" w:lineRule="auto"/>
            <w:jc w:val="center"/>
            <w:outlineLvl w:val="0"/>
            <w:rPr>
              <w:rFonts w:ascii="宋体" w:hAnsi="宋体" w:eastAsia="宋体" w:cs="宋体"/>
              <w:b/>
              <w:bCs/>
              <w:sz w:val="44"/>
              <w:szCs w:val="44"/>
            </w:rPr>
          </w:pPr>
        </w:p>
        <w:p w14:paraId="4CBE1700">
          <w:pPr>
            <w:spacing w:line="360" w:lineRule="auto"/>
            <w:jc w:val="center"/>
            <w:outlineLvl w:val="0"/>
            <w:rPr>
              <w:rFonts w:hint="eastAsia" w:ascii="宋体" w:hAnsi="宋体" w:eastAsia="宋体" w:cs="宋体"/>
              <w:b/>
              <w:bCs/>
              <w:sz w:val="44"/>
              <w:szCs w:val="44"/>
              <w:lang w:val="en-US" w:eastAsia="zh-CN"/>
            </w:rPr>
            <w:sectPr>
              <w:headerReference r:id="rId4" w:type="first"/>
              <w:footerReference r:id="rId6" w:type="first"/>
              <w:headerReference r:id="rId3" w:type="default"/>
              <w:footerReference r:id="rId5" w:type="default"/>
              <w:pgSz w:w="11906" w:h="16838"/>
              <w:pgMar w:top="1440" w:right="1797" w:bottom="1440" w:left="1797" w:header="851" w:footer="992" w:gutter="0"/>
              <w:pgNumType w:fmt="decimal" w:start="3"/>
              <w:cols w:space="425" w:num="1"/>
              <w:docGrid w:type="lines" w:linePitch="312" w:charSpace="0"/>
            </w:sectPr>
          </w:pPr>
        </w:p>
        <w:p w14:paraId="6AFD1655">
          <w:pPr>
            <w:spacing w:line="360" w:lineRule="auto"/>
            <w:jc w:val="center"/>
            <w:outlineLvl w:val="0"/>
            <w:rPr>
              <w:rFonts w:hint="eastAsia" w:ascii="宋体" w:hAnsi="宋体" w:eastAsia="宋体" w:cs="宋体"/>
              <w:b/>
              <w:bCs/>
              <w:sz w:val="44"/>
              <w:szCs w:val="44"/>
              <w:lang w:val="en-US" w:eastAsia="zh-CN"/>
            </w:rPr>
          </w:pPr>
          <w:bookmarkStart w:id="0" w:name="_Toc1032"/>
          <w:bookmarkStart w:id="1" w:name="_Toc8486"/>
          <w:r>
            <w:rPr>
              <w:rFonts w:hint="eastAsia" w:ascii="宋体" w:hAnsi="宋体" w:eastAsia="宋体" w:cs="宋体"/>
              <w:b/>
              <w:bCs/>
              <w:sz w:val="44"/>
              <w:szCs w:val="44"/>
              <w:lang w:val="en-US" w:eastAsia="zh-CN"/>
            </w:rPr>
            <w:t>目  录</w:t>
          </w:r>
          <w:bookmarkEnd w:id="0"/>
          <w:bookmarkEnd w:id="1"/>
        </w:p>
        <w:p w14:paraId="62735596">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TOC \o "1-1" \h \u </w:instrText>
          </w:r>
          <w:r>
            <w:rPr>
              <w:rFonts w:hint="eastAsia" w:ascii="微软雅黑" w:hAnsi="微软雅黑" w:eastAsia="微软雅黑" w:cs="微软雅黑"/>
              <w:szCs w:val="21"/>
            </w:rPr>
            <w:fldChar w:fldCharType="separate"/>
          </w: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_Toc8486 </w:instrText>
          </w:r>
          <w:r>
            <w:rPr>
              <w:rFonts w:hint="eastAsia" w:ascii="微软雅黑" w:hAnsi="微软雅黑" w:eastAsia="微软雅黑" w:cs="微软雅黑"/>
              <w:szCs w:val="21"/>
            </w:rPr>
            <w:fldChar w:fldCharType="separate"/>
          </w:r>
          <w:r>
            <w:rPr>
              <w:rFonts w:hint="eastAsia" w:ascii="宋体" w:hAnsi="宋体" w:eastAsia="宋体" w:cs="宋体"/>
              <w:bCs/>
              <w:szCs w:val="44"/>
              <w:lang w:val="en-US" w:eastAsia="zh-CN"/>
            </w:rPr>
            <w:t>目  录</w:t>
          </w:r>
          <w:r>
            <w:tab/>
          </w:r>
          <w:r>
            <w:fldChar w:fldCharType="begin"/>
          </w:r>
          <w:r>
            <w:instrText xml:space="preserve"> PAGEREF _Toc8486 \h </w:instrText>
          </w:r>
          <w:r>
            <w:fldChar w:fldCharType="separate"/>
          </w:r>
          <w:r>
            <w:t>3</w:t>
          </w:r>
          <w:r>
            <w:fldChar w:fldCharType="end"/>
          </w:r>
          <w:r>
            <w:rPr>
              <w:rFonts w:hint="eastAsia" w:ascii="微软雅黑" w:hAnsi="微软雅黑" w:eastAsia="微软雅黑" w:cs="微软雅黑"/>
              <w:szCs w:val="21"/>
            </w:rPr>
            <w:fldChar w:fldCharType="end"/>
          </w:r>
        </w:p>
        <w:p w14:paraId="1FE18B61">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_Toc12498 </w:instrText>
          </w:r>
          <w:r>
            <w:rPr>
              <w:rFonts w:hint="eastAsia" w:ascii="微软雅黑" w:hAnsi="微软雅黑" w:eastAsia="微软雅黑" w:cs="微软雅黑"/>
              <w:szCs w:val="21"/>
            </w:rPr>
            <w:fldChar w:fldCharType="separate"/>
          </w:r>
          <w:r>
            <w:rPr>
              <w:rFonts w:hint="eastAsia" w:cs="宋体" w:asciiTheme="majorEastAsia" w:hAnsiTheme="majorEastAsia" w:eastAsiaTheme="majorEastAsia"/>
              <w:bCs/>
              <w:szCs w:val="44"/>
            </w:rPr>
            <w:t>第一篇  毕业生就业基本情况</w:t>
          </w:r>
          <w:r>
            <w:tab/>
          </w:r>
          <w:r>
            <w:fldChar w:fldCharType="begin"/>
          </w:r>
          <w:r>
            <w:instrText xml:space="preserve"> PAGEREF _Toc12498 \h </w:instrText>
          </w:r>
          <w:r>
            <w:fldChar w:fldCharType="separate"/>
          </w:r>
          <w:r>
            <w:t>5</w:t>
          </w:r>
          <w:r>
            <w:fldChar w:fldCharType="end"/>
          </w:r>
          <w:r>
            <w:rPr>
              <w:rFonts w:hint="eastAsia" w:ascii="微软雅黑" w:hAnsi="微软雅黑" w:eastAsia="微软雅黑" w:cs="微软雅黑"/>
              <w:szCs w:val="21"/>
            </w:rPr>
            <w:fldChar w:fldCharType="end"/>
          </w:r>
        </w:p>
        <w:p w14:paraId="2B18B38C">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_Toc9624 </w:instrText>
          </w:r>
          <w:r>
            <w:rPr>
              <w:rFonts w:hint="eastAsia" w:ascii="微软雅黑" w:hAnsi="微软雅黑" w:eastAsia="微软雅黑" w:cs="微软雅黑"/>
              <w:szCs w:val="21"/>
            </w:rPr>
            <w:fldChar w:fldCharType="separate"/>
          </w:r>
          <w:r>
            <w:rPr>
              <w:rFonts w:hint="eastAsia" w:ascii="黑体" w:hAnsi="黑体" w:eastAsia="黑体" w:cs="宋体"/>
              <w:bCs/>
              <w:szCs w:val="32"/>
            </w:rPr>
            <w:t>一、毕业生的规模和结构</w:t>
          </w:r>
          <w:r>
            <w:tab/>
          </w:r>
          <w:r>
            <w:fldChar w:fldCharType="begin"/>
          </w:r>
          <w:r>
            <w:instrText xml:space="preserve"> PAGEREF _Toc9624 \h </w:instrText>
          </w:r>
          <w:r>
            <w:fldChar w:fldCharType="separate"/>
          </w:r>
          <w:r>
            <w:t>5</w:t>
          </w:r>
          <w:r>
            <w:fldChar w:fldCharType="end"/>
          </w:r>
          <w:r>
            <w:rPr>
              <w:rFonts w:hint="eastAsia" w:ascii="微软雅黑" w:hAnsi="微软雅黑" w:eastAsia="微软雅黑" w:cs="微软雅黑"/>
              <w:szCs w:val="21"/>
            </w:rPr>
            <w:fldChar w:fldCharType="end"/>
          </w:r>
        </w:p>
        <w:p w14:paraId="53959779">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_Toc9096 </w:instrText>
          </w:r>
          <w:r>
            <w:rPr>
              <w:rFonts w:hint="eastAsia" w:ascii="微软雅黑" w:hAnsi="微软雅黑" w:eastAsia="微软雅黑" w:cs="微软雅黑"/>
              <w:szCs w:val="21"/>
            </w:rPr>
            <w:fldChar w:fldCharType="separate"/>
          </w:r>
          <w:r>
            <w:rPr>
              <w:rFonts w:hint="eastAsia" w:ascii="楷体" w:hAnsi="楷体" w:eastAsia="楷体" w:cs="仿宋"/>
              <w:bCs/>
              <w:szCs w:val="32"/>
            </w:rPr>
            <w:t>（一）总体规模</w:t>
          </w:r>
          <w:r>
            <w:tab/>
          </w:r>
          <w:r>
            <w:fldChar w:fldCharType="begin"/>
          </w:r>
          <w:r>
            <w:instrText xml:space="preserve"> PAGEREF _Toc9096 \h </w:instrText>
          </w:r>
          <w:r>
            <w:fldChar w:fldCharType="separate"/>
          </w:r>
          <w:r>
            <w:t>5</w:t>
          </w:r>
          <w:r>
            <w:fldChar w:fldCharType="end"/>
          </w:r>
          <w:r>
            <w:rPr>
              <w:rFonts w:hint="eastAsia" w:ascii="微软雅黑" w:hAnsi="微软雅黑" w:eastAsia="微软雅黑" w:cs="微软雅黑"/>
              <w:szCs w:val="21"/>
            </w:rPr>
            <w:fldChar w:fldCharType="end"/>
          </w:r>
        </w:p>
        <w:p w14:paraId="13DCC73E">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_Toc18785 </w:instrText>
          </w:r>
          <w:r>
            <w:rPr>
              <w:rFonts w:hint="eastAsia" w:ascii="微软雅黑" w:hAnsi="微软雅黑" w:eastAsia="微软雅黑" w:cs="微软雅黑"/>
              <w:szCs w:val="21"/>
            </w:rPr>
            <w:fldChar w:fldCharType="separate"/>
          </w:r>
          <w:r>
            <w:rPr>
              <w:rFonts w:hint="eastAsia" w:ascii="楷体" w:hAnsi="楷体" w:eastAsia="楷体" w:cs="仿宋"/>
              <w:bCs/>
              <w:szCs w:val="32"/>
            </w:rPr>
            <w:t>（二）生源结构</w:t>
          </w:r>
          <w:r>
            <w:tab/>
          </w:r>
          <w:r>
            <w:fldChar w:fldCharType="begin"/>
          </w:r>
          <w:r>
            <w:instrText xml:space="preserve"> PAGEREF _Toc18785 \h </w:instrText>
          </w:r>
          <w:r>
            <w:fldChar w:fldCharType="separate"/>
          </w:r>
          <w:r>
            <w:t>5</w:t>
          </w:r>
          <w:r>
            <w:fldChar w:fldCharType="end"/>
          </w:r>
          <w:r>
            <w:rPr>
              <w:rFonts w:hint="eastAsia" w:ascii="微软雅黑" w:hAnsi="微软雅黑" w:eastAsia="微软雅黑" w:cs="微软雅黑"/>
              <w:szCs w:val="21"/>
            </w:rPr>
            <w:fldChar w:fldCharType="end"/>
          </w:r>
        </w:p>
        <w:p w14:paraId="1CC59C50">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_Toc7052 </w:instrText>
          </w:r>
          <w:r>
            <w:rPr>
              <w:rFonts w:hint="eastAsia" w:ascii="微软雅黑" w:hAnsi="微软雅黑" w:eastAsia="微软雅黑" w:cs="微软雅黑"/>
              <w:szCs w:val="21"/>
            </w:rPr>
            <w:fldChar w:fldCharType="separate"/>
          </w:r>
          <w:r>
            <w:rPr>
              <w:rFonts w:hint="eastAsia" w:ascii="楷体" w:hAnsi="楷体" w:eastAsia="楷体" w:cs="仿宋"/>
              <w:bCs/>
              <w:szCs w:val="32"/>
            </w:rPr>
            <w:t>（三）专业结构</w:t>
          </w:r>
          <w:r>
            <w:tab/>
          </w:r>
          <w:r>
            <w:fldChar w:fldCharType="begin"/>
          </w:r>
          <w:r>
            <w:instrText xml:space="preserve"> PAGEREF _Toc7052 \h </w:instrText>
          </w:r>
          <w:r>
            <w:fldChar w:fldCharType="separate"/>
          </w:r>
          <w:r>
            <w:t>6</w:t>
          </w:r>
          <w:r>
            <w:fldChar w:fldCharType="end"/>
          </w:r>
          <w:r>
            <w:rPr>
              <w:rFonts w:hint="eastAsia" w:ascii="微软雅黑" w:hAnsi="微软雅黑" w:eastAsia="微软雅黑" w:cs="微软雅黑"/>
              <w:szCs w:val="21"/>
            </w:rPr>
            <w:fldChar w:fldCharType="end"/>
          </w:r>
        </w:p>
        <w:p w14:paraId="1601EAF6">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_Toc176 </w:instrText>
          </w:r>
          <w:r>
            <w:rPr>
              <w:rFonts w:hint="eastAsia" w:ascii="微软雅黑" w:hAnsi="微软雅黑" w:eastAsia="微软雅黑" w:cs="微软雅黑"/>
              <w:szCs w:val="21"/>
            </w:rPr>
            <w:fldChar w:fldCharType="separate"/>
          </w:r>
          <w:r>
            <w:rPr>
              <w:rFonts w:hint="eastAsia" w:ascii="黑体" w:hAnsi="黑体" w:eastAsia="黑体" w:cs="宋体"/>
              <w:bCs/>
              <w:szCs w:val="32"/>
            </w:rPr>
            <w:t>二、初次毕业去向落实率及毕业去向</w:t>
          </w:r>
          <w:r>
            <w:tab/>
          </w:r>
          <w:r>
            <w:fldChar w:fldCharType="begin"/>
          </w:r>
          <w:r>
            <w:instrText xml:space="preserve"> PAGEREF _Toc176 \h </w:instrText>
          </w:r>
          <w:r>
            <w:fldChar w:fldCharType="separate"/>
          </w:r>
          <w:r>
            <w:t>7</w:t>
          </w:r>
          <w:r>
            <w:fldChar w:fldCharType="end"/>
          </w:r>
          <w:r>
            <w:rPr>
              <w:rFonts w:hint="eastAsia" w:ascii="微软雅黑" w:hAnsi="微软雅黑" w:eastAsia="微软雅黑" w:cs="微软雅黑"/>
              <w:szCs w:val="21"/>
            </w:rPr>
            <w:fldChar w:fldCharType="end"/>
          </w:r>
        </w:p>
        <w:p w14:paraId="1F961806">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_Toc30305 </w:instrText>
          </w:r>
          <w:r>
            <w:rPr>
              <w:rFonts w:hint="eastAsia" w:ascii="微软雅黑" w:hAnsi="微软雅黑" w:eastAsia="微软雅黑" w:cs="微软雅黑"/>
              <w:szCs w:val="21"/>
            </w:rPr>
            <w:fldChar w:fldCharType="separate"/>
          </w:r>
          <w:r>
            <w:rPr>
              <w:rFonts w:hint="eastAsia" w:ascii="楷体" w:hAnsi="楷体" w:eastAsia="楷体" w:cs="仿宋"/>
              <w:bCs/>
              <w:szCs w:val="32"/>
            </w:rPr>
            <w:t>（一）总体毕业去向落实率</w:t>
          </w:r>
          <w:r>
            <w:tab/>
          </w:r>
          <w:r>
            <w:fldChar w:fldCharType="begin"/>
          </w:r>
          <w:r>
            <w:instrText xml:space="preserve"> PAGEREF _Toc30305 \h </w:instrText>
          </w:r>
          <w:r>
            <w:fldChar w:fldCharType="separate"/>
          </w:r>
          <w:r>
            <w:t>7</w:t>
          </w:r>
          <w:r>
            <w:fldChar w:fldCharType="end"/>
          </w:r>
          <w:r>
            <w:rPr>
              <w:rFonts w:hint="eastAsia" w:ascii="微软雅黑" w:hAnsi="微软雅黑" w:eastAsia="微软雅黑" w:cs="微软雅黑"/>
              <w:szCs w:val="21"/>
            </w:rPr>
            <w:fldChar w:fldCharType="end"/>
          </w:r>
        </w:p>
        <w:p w14:paraId="72CD47F5">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_Toc26724 </w:instrText>
          </w:r>
          <w:r>
            <w:rPr>
              <w:rFonts w:hint="eastAsia" w:ascii="微软雅黑" w:hAnsi="微软雅黑" w:eastAsia="微软雅黑" w:cs="微软雅黑"/>
              <w:szCs w:val="21"/>
            </w:rPr>
            <w:fldChar w:fldCharType="separate"/>
          </w:r>
          <w:r>
            <w:rPr>
              <w:rFonts w:hint="eastAsia" w:ascii="楷体" w:hAnsi="楷体" w:eastAsia="楷体" w:cs="仿宋"/>
              <w:bCs/>
              <w:szCs w:val="32"/>
            </w:rPr>
            <w:t>（二）各系的毕业去向落实率</w:t>
          </w:r>
          <w:r>
            <w:tab/>
          </w:r>
          <w:r>
            <w:fldChar w:fldCharType="begin"/>
          </w:r>
          <w:r>
            <w:instrText xml:space="preserve"> PAGEREF _Toc26724 \h </w:instrText>
          </w:r>
          <w:r>
            <w:fldChar w:fldCharType="separate"/>
          </w:r>
          <w:r>
            <w:t>8</w:t>
          </w:r>
          <w:r>
            <w:fldChar w:fldCharType="end"/>
          </w:r>
          <w:r>
            <w:rPr>
              <w:rFonts w:hint="eastAsia" w:ascii="微软雅黑" w:hAnsi="微软雅黑" w:eastAsia="微软雅黑" w:cs="微软雅黑"/>
              <w:szCs w:val="21"/>
            </w:rPr>
            <w:fldChar w:fldCharType="end"/>
          </w:r>
        </w:p>
        <w:p w14:paraId="3949A83D">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_Toc27651 </w:instrText>
          </w:r>
          <w:r>
            <w:rPr>
              <w:rFonts w:hint="eastAsia" w:ascii="微软雅黑" w:hAnsi="微软雅黑" w:eastAsia="微软雅黑" w:cs="微软雅黑"/>
              <w:szCs w:val="21"/>
            </w:rPr>
            <w:fldChar w:fldCharType="separate"/>
          </w:r>
          <w:r>
            <w:rPr>
              <w:rFonts w:hint="eastAsia" w:ascii="楷体" w:hAnsi="楷体" w:eastAsia="楷体" w:cs="仿宋"/>
              <w:bCs/>
              <w:szCs w:val="32"/>
            </w:rPr>
            <w:t>（三）各专业的毕业去向落实率</w:t>
          </w:r>
          <w:r>
            <w:tab/>
          </w:r>
          <w:r>
            <w:fldChar w:fldCharType="begin"/>
          </w:r>
          <w:r>
            <w:instrText xml:space="preserve"> PAGEREF _Toc27651 \h </w:instrText>
          </w:r>
          <w:r>
            <w:fldChar w:fldCharType="separate"/>
          </w:r>
          <w:r>
            <w:t>9</w:t>
          </w:r>
          <w:r>
            <w:fldChar w:fldCharType="end"/>
          </w:r>
          <w:r>
            <w:rPr>
              <w:rFonts w:hint="eastAsia" w:ascii="微软雅黑" w:hAnsi="微软雅黑" w:eastAsia="微软雅黑" w:cs="微软雅黑"/>
              <w:szCs w:val="21"/>
            </w:rPr>
            <w:fldChar w:fldCharType="end"/>
          </w:r>
        </w:p>
        <w:p w14:paraId="07EC4F62">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_Toc7008 </w:instrText>
          </w:r>
          <w:r>
            <w:rPr>
              <w:rFonts w:hint="eastAsia" w:ascii="微软雅黑" w:hAnsi="微软雅黑" w:eastAsia="微软雅黑" w:cs="微软雅黑"/>
              <w:szCs w:val="21"/>
            </w:rPr>
            <w:fldChar w:fldCharType="separate"/>
          </w:r>
          <w:r>
            <w:rPr>
              <w:rFonts w:hint="eastAsia" w:ascii="楷体" w:hAnsi="楷体" w:eastAsia="楷体" w:cs="仿宋"/>
              <w:bCs/>
              <w:szCs w:val="32"/>
            </w:rPr>
            <w:t>（</w:t>
          </w:r>
          <w:r>
            <w:rPr>
              <w:rFonts w:hint="eastAsia" w:ascii="楷体" w:hAnsi="楷体" w:eastAsia="楷体" w:cs="仿宋"/>
              <w:bCs/>
              <w:szCs w:val="32"/>
              <w:lang w:val="en-US" w:eastAsia="zh-CN"/>
            </w:rPr>
            <w:t>四</w:t>
          </w:r>
          <w:r>
            <w:rPr>
              <w:rFonts w:hint="eastAsia" w:ascii="楷体" w:hAnsi="楷体" w:eastAsia="楷体" w:cs="仿宋"/>
              <w:bCs/>
              <w:szCs w:val="32"/>
            </w:rPr>
            <w:t>）未就业情况分析</w:t>
          </w:r>
          <w:r>
            <w:tab/>
          </w:r>
          <w:r>
            <w:fldChar w:fldCharType="begin"/>
          </w:r>
          <w:r>
            <w:instrText xml:space="preserve"> PAGEREF _Toc7008 \h </w:instrText>
          </w:r>
          <w:r>
            <w:fldChar w:fldCharType="separate"/>
          </w:r>
          <w:r>
            <w:t>11</w:t>
          </w:r>
          <w:r>
            <w:fldChar w:fldCharType="end"/>
          </w:r>
          <w:r>
            <w:rPr>
              <w:rFonts w:hint="eastAsia" w:ascii="微软雅黑" w:hAnsi="微软雅黑" w:eastAsia="微软雅黑" w:cs="微软雅黑"/>
              <w:szCs w:val="21"/>
            </w:rPr>
            <w:fldChar w:fldCharType="end"/>
          </w:r>
        </w:p>
        <w:p w14:paraId="46CD02C7">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_Toc18704 </w:instrText>
          </w:r>
          <w:r>
            <w:rPr>
              <w:rFonts w:hint="eastAsia" w:ascii="微软雅黑" w:hAnsi="微软雅黑" w:eastAsia="微软雅黑" w:cs="微软雅黑"/>
              <w:szCs w:val="21"/>
            </w:rPr>
            <w:fldChar w:fldCharType="separate"/>
          </w:r>
          <w:r>
            <w:rPr>
              <w:rFonts w:hint="eastAsia" w:ascii="黑体" w:hAnsi="黑体" w:eastAsia="黑体" w:cs="宋体"/>
              <w:bCs/>
              <w:szCs w:val="32"/>
            </w:rPr>
            <w:t>三、就业流向</w:t>
          </w:r>
          <w:r>
            <w:tab/>
          </w:r>
          <w:r>
            <w:fldChar w:fldCharType="begin"/>
          </w:r>
          <w:r>
            <w:instrText xml:space="preserve"> PAGEREF _Toc18704 \h </w:instrText>
          </w:r>
          <w:r>
            <w:fldChar w:fldCharType="separate"/>
          </w:r>
          <w:r>
            <w:t>11</w:t>
          </w:r>
          <w:r>
            <w:fldChar w:fldCharType="end"/>
          </w:r>
          <w:r>
            <w:rPr>
              <w:rFonts w:hint="eastAsia" w:ascii="微软雅黑" w:hAnsi="微软雅黑" w:eastAsia="微软雅黑" w:cs="微软雅黑"/>
              <w:szCs w:val="21"/>
            </w:rPr>
            <w:fldChar w:fldCharType="end"/>
          </w:r>
        </w:p>
        <w:p w14:paraId="21489E03">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_Toc3416 </w:instrText>
          </w:r>
          <w:r>
            <w:rPr>
              <w:rFonts w:hint="eastAsia" w:ascii="微软雅黑" w:hAnsi="微软雅黑" w:eastAsia="微软雅黑" w:cs="微软雅黑"/>
              <w:szCs w:val="21"/>
            </w:rPr>
            <w:fldChar w:fldCharType="separate"/>
          </w:r>
          <w:r>
            <w:rPr>
              <w:rFonts w:hint="eastAsia" w:ascii="楷体" w:hAnsi="楷体" w:eastAsia="楷体" w:cs="仿宋"/>
              <w:bCs/>
              <w:szCs w:val="32"/>
            </w:rPr>
            <w:t>（一）就业地区流向</w:t>
          </w:r>
          <w:r>
            <w:tab/>
          </w:r>
          <w:r>
            <w:fldChar w:fldCharType="begin"/>
          </w:r>
          <w:r>
            <w:instrText xml:space="preserve"> PAGEREF _Toc3416 \h </w:instrText>
          </w:r>
          <w:r>
            <w:fldChar w:fldCharType="separate"/>
          </w:r>
          <w:r>
            <w:t>11</w:t>
          </w:r>
          <w:r>
            <w:fldChar w:fldCharType="end"/>
          </w:r>
          <w:r>
            <w:rPr>
              <w:rFonts w:hint="eastAsia" w:ascii="微软雅黑" w:hAnsi="微软雅黑" w:eastAsia="微软雅黑" w:cs="微软雅黑"/>
              <w:szCs w:val="21"/>
            </w:rPr>
            <w:fldChar w:fldCharType="end"/>
          </w:r>
        </w:p>
        <w:p w14:paraId="0DEC770A">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_Toc5739 </w:instrText>
          </w:r>
          <w:r>
            <w:rPr>
              <w:rFonts w:hint="eastAsia" w:ascii="微软雅黑" w:hAnsi="微软雅黑" w:eastAsia="微软雅黑" w:cs="微软雅黑"/>
              <w:szCs w:val="21"/>
            </w:rPr>
            <w:fldChar w:fldCharType="separate"/>
          </w:r>
          <w:r>
            <w:rPr>
              <w:rFonts w:hint="eastAsia" w:ascii="楷体" w:hAnsi="楷体" w:eastAsia="楷体" w:cs="仿宋"/>
              <w:bCs/>
              <w:szCs w:val="32"/>
            </w:rPr>
            <w:t>（二）就业单位流向</w:t>
          </w:r>
          <w:r>
            <w:tab/>
          </w:r>
          <w:r>
            <w:fldChar w:fldCharType="begin"/>
          </w:r>
          <w:r>
            <w:instrText xml:space="preserve"> PAGEREF _Toc5739 \h </w:instrText>
          </w:r>
          <w:r>
            <w:fldChar w:fldCharType="separate"/>
          </w:r>
          <w:r>
            <w:t>13</w:t>
          </w:r>
          <w:r>
            <w:fldChar w:fldCharType="end"/>
          </w:r>
          <w:r>
            <w:rPr>
              <w:rFonts w:hint="eastAsia" w:ascii="微软雅黑" w:hAnsi="微软雅黑" w:eastAsia="微软雅黑" w:cs="微软雅黑"/>
              <w:szCs w:val="21"/>
            </w:rPr>
            <w:fldChar w:fldCharType="end"/>
          </w:r>
        </w:p>
        <w:p w14:paraId="4DAA1665">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_Toc32669 </w:instrText>
          </w:r>
          <w:r>
            <w:rPr>
              <w:rFonts w:hint="eastAsia" w:ascii="微软雅黑" w:hAnsi="微软雅黑" w:eastAsia="微软雅黑" w:cs="微软雅黑"/>
              <w:szCs w:val="21"/>
            </w:rPr>
            <w:fldChar w:fldCharType="separate"/>
          </w:r>
          <w:r>
            <w:rPr>
              <w:rFonts w:hint="eastAsia" w:ascii="楷体" w:hAnsi="楷体" w:eastAsia="楷体" w:cs="仿宋"/>
              <w:bCs/>
              <w:szCs w:val="32"/>
            </w:rPr>
            <w:t>（三）就业行业流向</w:t>
          </w:r>
          <w:r>
            <w:tab/>
          </w:r>
          <w:r>
            <w:fldChar w:fldCharType="begin"/>
          </w:r>
          <w:r>
            <w:instrText xml:space="preserve"> PAGEREF _Toc32669 \h </w:instrText>
          </w:r>
          <w:r>
            <w:fldChar w:fldCharType="separate"/>
          </w:r>
          <w:r>
            <w:t>14</w:t>
          </w:r>
          <w:r>
            <w:fldChar w:fldCharType="end"/>
          </w:r>
          <w:r>
            <w:rPr>
              <w:rFonts w:hint="eastAsia" w:ascii="微软雅黑" w:hAnsi="微软雅黑" w:eastAsia="微软雅黑" w:cs="微软雅黑"/>
              <w:szCs w:val="21"/>
            </w:rPr>
            <w:fldChar w:fldCharType="end"/>
          </w:r>
        </w:p>
        <w:p w14:paraId="0B3533B9">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_Toc25650 </w:instrText>
          </w:r>
          <w:r>
            <w:rPr>
              <w:rFonts w:hint="eastAsia" w:ascii="微软雅黑" w:hAnsi="微软雅黑" w:eastAsia="微软雅黑" w:cs="微软雅黑"/>
              <w:szCs w:val="21"/>
            </w:rPr>
            <w:fldChar w:fldCharType="separate"/>
          </w:r>
          <w:r>
            <w:rPr>
              <w:rFonts w:hint="eastAsia" w:ascii="楷体" w:hAnsi="楷体" w:eastAsia="楷体" w:cs="仿宋"/>
              <w:bCs/>
              <w:szCs w:val="32"/>
            </w:rPr>
            <w:t>（四）就业职业流向</w:t>
          </w:r>
          <w:r>
            <w:tab/>
          </w:r>
          <w:r>
            <w:fldChar w:fldCharType="begin"/>
          </w:r>
          <w:r>
            <w:instrText xml:space="preserve"> PAGEREF _Toc25650 \h </w:instrText>
          </w:r>
          <w:r>
            <w:fldChar w:fldCharType="separate"/>
          </w:r>
          <w:r>
            <w:t>15</w:t>
          </w:r>
          <w:r>
            <w:fldChar w:fldCharType="end"/>
          </w:r>
          <w:r>
            <w:rPr>
              <w:rFonts w:hint="eastAsia" w:ascii="微软雅黑" w:hAnsi="微软雅黑" w:eastAsia="微软雅黑" w:cs="微软雅黑"/>
              <w:szCs w:val="21"/>
            </w:rPr>
            <w:fldChar w:fldCharType="end"/>
          </w:r>
        </w:p>
        <w:p w14:paraId="1D9B62BC">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_Toc3493 </w:instrText>
          </w:r>
          <w:r>
            <w:rPr>
              <w:rFonts w:hint="eastAsia" w:ascii="微软雅黑" w:hAnsi="微软雅黑" w:eastAsia="微软雅黑" w:cs="微软雅黑"/>
              <w:szCs w:val="21"/>
            </w:rPr>
            <w:fldChar w:fldCharType="separate"/>
          </w:r>
          <w:r>
            <w:rPr>
              <w:rFonts w:hint="eastAsia" w:ascii="黑体" w:hAnsi="黑体" w:eastAsia="黑体" w:cs="宋体"/>
              <w:bCs/>
              <w:szCs w:val="32"/>
            </w:rPr>
            <w:t>四、升学</w:t>
          </w:r>
          <w:r>
            <w:tab/>
          </w:r>
          <w:r>
            <w:fldChar w:fldCharType="begin"/>
          </w:r>
          <w:r>
            <w:instrText xml:space="preserve"> PAGEREF _Toc3493 \h </w:instrText>
          </w:r>
          <w:r>
            <w:fldChar w:fldCharType="separate"/>
          </w:r>
          <w:r>
            <w:t>16</w:t>
          </w:r>
          <w:r>
            <w:fldChar w:fldCharType="end"/>
          </w:r>
          <w:r>
            <w:rPr>
              <w:rFonts w:hint="eastAsia" w:ascii="微软雅黑" w:hAnsi="微软雅黑" w:eastAsia="微软雅黑" w:cs="微软雅黑"/>
              <w:szCs w:val="21"/>
            </w:rPr>
            <w:fldChar w:fldCharType="end"/>
          </w:r>
        </w:p>
        <w:p w14:paraId="29C29570">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_Toc9383 </w:instrText>
          </w:r>
          <w:r>
            <w:rPr>
              <w:rFonts w:hint="eastAsia" w:ascii="微软雅黑" w:hAnsi="微软雅黑" w:eastAsia="微软雅黑" w:cs="微软雅黑"/>
              <w:szCs w:val="21"/>
            </w:rPr>
            <w:fldChar w:fldCharType="separate"/>
          </w:r>
          <w:r>
            <w:rPr>
              <w:rFonts w:hint="eastAsia" w:cs="宋体" w:asciiTheme="majorEastAsia" w:hAnsiTheme="majorEastAsia" w:eastAsiaTheme="majorEastAsia"/>
              <w:bCs/>
              <w:szCs w:val="44"/>
              <w:highlight w:val="none"/>
            </w:rPr>
            <w:t>第二篇  就业工作特色</w:t>
          </w:r>
          <w:r>
            <w:tab/>
          </w:r>
          <w:r>
            <w:fldChar w:fldCharType="begin"/>
          </w:r>
          <w:r>
            <w:instrText xml:space="preserve"> PAGEREF _Toc9383 \h </w:instrText>
          </w:r>
          <w:r>
            <w:fldChar w:fldCharType="separate"/>
          </w:r>
          <w:r>
            <w:t>21</w:t>
          </w:r>
          <w:r>
            <w:fldChar w:fldCharType="end"/>
          </w:r>
          <w:r>
            <w:rPr>
              <w:rFonts w:hint="eastAsia" w:ascii="微软雅黑" w:hAnsi="微软雅黑" w:eastAsia="微软雅黑" w:cs="微软雅黑"/>
              <w:szCs w:val="21"/>
            </w:rPr>
            <w:fldChar w:fldCharType="end"/>
          </w:r>
        </w:p>
        <w:p w14:paraId="6E5A3C16">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_Toc6846 </w:instrText>
          </w:r>
          <w:r>
            <w:rPr>
              <w:rFonts w:hint="eastAsia" w:ascii="微软雅黑" w:hAnsi="微软雅黑" w:eastAsia="微软雅黑" w:cs="微软雅黑"/>
              <w:szCs w:val="21"/>
            </w:rPr>
            <w:fldChar w:fldCharType="separate"/>
          </w:r>
          <w:r>
            <w:rPr>
              <w:rFonts w:hint="eastAsia" w:cs="宋体" w:asciiTheme="majorEastAsia" w:hAnsiTheme="majorEastAsia" w:eastAsiaTheme="majorEastAsia"/>
              <w:bCs/>
              <w:szCs w:val="44"/>
            </w:rPr>
            <w:t>第三篇  就业相关分析</w:t>
          </w:r>
          <w:r>
            <w:tab/>
          </w:r>
          <w:r>
            <w:fldChar w:fldCharType="begin"/>
          </w:r>
          <w:r>
            <w:instrText xml:space="preserve"> PAGEREF _Toc6846 \h </w:instrText>
          </w:r>
          <w:r>
            <w:fldChar w:fldCharType="separate"/>
          </w:r>
          <w:r>
            <w:t>25</w:t>
          </w:r>
          <w:r>
            <w:fldChar w:fldCharType="end"/>
          </w:r>
          <w:r>
            <w:rPr>
              <w:rFonts w:hint="eastAsia" w:ascii="微软雅黑" w:hAnsi="微软雅黑" w:eastAsia="微软雅黑" w:cs="微软雅黑"/>
              <w:szCs w:val="21"/>
            </w:rPr>
            <w:fldChar w:fldCharType="end"/>
          </w:r>
        </w:p>
        <w:p w14:paraId="35060CD6">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_Toc26513 </w:instrText>
          </w:r>
          <w:r>
            <w:rPr>
              <w:rFonts w:hint="eastAsia" w:ascii="微软雅黑" w:hAnsi="微软雅黑" w:eastAsia="微软雅黑" w:cs="微软雅黑"/>
              <w:szCs w:val="21"/>
            </w:rPr>
            <w:fldChar w:fldCharType="separate"/>
          </w:r>
          <w:r>
            <w:rPr>
              <w:rFonts w:hint="eastAsia" w:ascii="黑体" w:hAnsi="黑体" w:eastAsia="黑体" w:cs="宋体"/>
              <w:bCs/>
              <w:szCs w:val="32"/>
            </w:rPr>
            <w:t>一、薪酬水平</w:t>
          </w:r>
          <w:r>
            <w:tab/>
          </w:r>
          <w:r>
            <w:fldChar w:fldCharType="begin"/>
          </w:r>
          <w:r>
            <w:instrText xml:space="preserve"> PAGEREF _Toc26513 \h </w:instrText>
          </w:r>
          <w:r>
            <w:fldChar w:fldCharType="separate"/>
          </w:r>
          <w:r>
            <w:t>25</w:t>
          </w:r>
          <w:r>
            <w:fldChar w:fldCharType="end"/>
          </w:r>
          <w:r>
            <w:rPr>
              <w:rFonts w:hint="eastAsia" w:ascii="微软雅黑" w:hAnsi="微软雅黑" w:eastAsia="微软雅黑" w:cs="微软雅黑"/>
              <w:szCs w:val="21"/>
            </w:rPr>
            <w:fldChar w:fldCharType="end"/>
          </w:r>
        </w:p>
        <w:p w14:paraId="083FF322">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_Toc4738 </w:instrText>
          </w:r>
          <w:r>
            <w:rPr>
              <w:rFonts w:hint="eastAsia" w:ascii="微软雅黑" w:hAnsi="微软雅黑" w:eastAsia="微软雅黑" w:cs="微软雅黑"/>
              <w:szCs w:val="21"/>
            </w:rPr>
            <w:fldChar w:fldCharType="separate"/>
          </w:r>
          <w:r>
            <w:rPr>
              <w:rFonts w:hint="eastAsia" w:ascii="黑体" w:hAnsi="黑体" w:eastAsia="黑体" w:cs="宋体"/>
              <w:bCs/>
              <w:szCs w:val="32"/>
            </w:rPr>
            <w:t>二、专业对口率</w:t>
          </w:r>
          <w:r>
            <w:tab/>
          </w:r>
          <w:r>
            <w:fldChar w:fldCharType="begin"/>
          </w:r>
          <w:r>
            <w:instrText xml:space="preserve"> PAGEREF _Toc4738 \h </w:instrText>
          </w:r>
          <w:r>
            <w:fldChar w:fldCharType="separate"/>
          </w:r>
          <w:r>
            <w:t>25</w:t>
          </w:r>
          <w:r>
            <w:fldChar w:fldCharType="end"/>
          </w:r>
          <w:r>
            <w:rPr>
              <w:rFonts w:hint="eastAsia" w:ascii="微软雅黑" w:hAnsi="微软雅黑" w:eastAsia="微软雅黑" w:cs="微软雅黑"/>
              <w:szCs w:val="21"/>
            </w:rPr>
            <w:fldChar w:fldCharType="end"/>
          </w:r>
        </w:p>
        <w:p w14:paraId="573D2027">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_Toc16742 </w:instrText>
          </w:r>
          <w:r>
            <w:rPr>
              <w:rFonts w:hint="eastAsia" w:ascii="微软雅黑" w:hAnsi="微软雅黑" w:eastAsia="微软雅黑" w:cs="微软雅黑"/>
              <w:szCs w:val="21"/>
            </w:rPr>
            <w:fldChar w:fldCharType="separate"/>
          </w:r>
          <w:r>
            <w:rPr>
              <w:rFonts w:hint="eastAsia" w:ascii="黑体" w:hAnsi="黑体" w:eastAsia="黑体" w:cs="宋体"/>
              <w:bCs/>
              <w:szCs w:val="32"/>
            </w:rPr>
            <w:t>三、就业满意度</w:t>
          </w:r>
          <w:r>
            <w:tab/>
          </w:r>
          <w:r>
            <w:fldChar w:fldCharType="begin"/>
          </w:r>
          <w:r>
            <w:instrText xml:space="preserve"> PAGEREF _Toc16742 \h </w:instrText>
          </w:r>
          <w:r>
            <w:fldChar w:fldCharType="separate"/>
          </w:r>
          <w:r>
            <w:t>27</w:t>
          </w:r>
          <w:r>
            <w:fldChar w:fldCharType="end"/>
          </w:r>
          <w:r>
            <w:rPr>
              <w:rFonts w:hint="eastAsia" w:ascii="微软雅黑" w:hAnsi="微软雅黑" w:eastAsia="微软雅黑" w:cs="微软雅黑"/>
              <w:szCs w:val="21"/>
            </w:rPr>
            <w:fldChar w:fldCharType="end"/>
          </w:r>
        </w:p>
        <w:p w14:paraId="69840957">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_Toc14788 </w:instrText>
          </w:r>
          <w:r>
            <w:rPr>
              <w:rFonts w:hint="eastAsia" w:ascii="微软雅黑" w:hAnsi="微软雅黑" w:eastAsia="微软雅黑" w:cs="微软雅黑"/>
              <w:szCs w:val="21"/>
            </w:rPr>
            <w:fldChar w:fldCharType="separate"/>
          </w:r>
          <w:r>
            <w:rPr>
              <w:rFonts w:hint="eastAsia" w:ascii="黑体" w:hAnsi="黑体" w:eastAsia="黑体" w:cs="宋体"/>
              <w:bCs/>
              <w:szCs w:val="32"/>
            </w:rPr>
            <w:t>四、求职途径分析</w:t>
          </w:r>
          <w:r>
            <w:tab/>
          </w:r>
          <w:r>
            <w:fldChar w:fldCharType="begin"/>
          </w:r>
          <w:r>
            <w:instrText xml:space="preserve"> PAGEREF _Toc14788 \h </w:instrText>
          </w:r>
          <w:r>
            <w:fldChar w:fldCharType="separate"/>
          </w:r>
          <w:r>
            <w:t>27</w:t>
          </w:r>
          <w:r>
            <w:fldChar w:fldCharType="end"/>
          </w:r>
          <w:r>
            <w:rPr>
              <w:rFonts w:hint="eastAsia" w:ascii="微软雅黑" w:hAnsi="微软雅黑" w:eastAsia="微软雅黑" w:cs="微软雅黑"/>
              <w:szCs w:val="21"/>
            </w:rPr>
            <w:fldChar w:fldCharType="end"/>
          </w:r>
        </w:p>
        <w:p w14:paraId="2E128A2A">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_Toc17660 </w:instrText>
          </w:r>
          <w:r>
            <w:rPr>
              <w:rFonts w:hint="eastAsia" w:ascii="微软雅黑" w:hAnsi="微软雅黑" w:eastAsia="微软雅黑" w:cs="微软雅黑"/>
              <w:szCs w:val="21"/>
            </w:rPr>
            <w:fldChar w:fldCharType="separate"/>
          </w:r>
          <w:r>
            <w:rPr>
              <w:rFonts w:hint="eastAsia" w:cs="宋体" w:asciiTheme="majorEastAsia" w:hAnsiTheme="majorEastAsia" w:eastAsiaTheme="majorEastAsia"/>
              <w:bCs/>
              <w:szCs w:val="44"/>
            </w:rPr>
            <w:t>第四篇  就业相关分析</w:t>
          </w:r>
          <w:r>
            <w:tab/>
          </w:r>
          <w:r>
            <w:fldChar w:fldCharType="begin"/>
          </w:r>
          <w:r>
            <w:instrText xml:space="preserve"> PAGEREF _Toc17660 \h </w:instrText>
          </w:r>
          <w:r>
            <w:fldChar w:fldCharType="separate"/>
          </w:r>
          <w:r>
            <w:t>28</w:t>
          </w:r>
          <w:r>
            <w:fldChar w:fldCharType="end"/>
          </w:r>
          <w:r>
            <w:rPr>
              <w:rFonts w:hint="eastAsia" w:ascii="微软雅黑" w:hAnsi="微软雅黑" w:eastAsia="微软雅黑" w:cs="微软雅黑"/>
              <w:szCs w:val="21"/>
            </w:rPr>
            <w:fldChar w:fldCharType="end"/>
          </w:r>
        </w:p>
        <w:p w14:paraId="1115DB73">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_Toc31757 </w:instrText>
          </w:r>
          <w:r>
            <w:rPr>
              <w:rFonts w:hint="eastAsia" w:ascii="微软雅黑" w:hAnsi="微软雅黑" w:eastAsia="微软雅黑" w:cs="微软雅黑"/>
              <w:szCs w:val="21"/>
            </w:rPr>
            <w:fldChar w:fldCharType="separate"/>
          </w:r>
          <w:r>
            <w:rPr>
              <w:rFonts w:hint="eastAsia" w:ascii="黑体" w:hAnsi="黑体" w:eastAsia="黑体" w:cs="宋体"/>
              <w:bCs/>
              <w:szCs w:val="32"/>
            </w:rPr>
            <w:t>一、毕业去向落实率变化趋势</w:t>
          </w:r>
          <w:r>
            <w:tab/>
          </w:r>
          <w:r>
            <w:fldChar w:fldCharType="begin"/>
          </w:r>
          <w:r>
            <w:instrText xml:space="preserve"> PAGEREF _Toc31757 \h </w:instrText>
          </w:r>
          <w:r>
            <w:fldChar w:fldCharType="separate"/>
          </w:r>
          <w:r>
            <w:t>28</w:t>
          </w:r>
          <w:r>
            <w:fldChar w:fldCharType="end"/>
          </w:r>
          <w:r>
            <w:rPr>
              <w:rFonts w:hint="eastAsia" w:ascii="微软雅黑" w:hAnsi="微软雅黑" w:eastAsia="微软雅黑" w:cs="微软雅黑"/>
              <w:szCs w:val="21"/>
            </w:rPr>
            <w:fldChar w:fldCharType="end"/>
          </w:r>
        </w:p>
        <w:p w14:paraId="7DD9BBFE">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_Toc27545 </w:instrText>
          </w:r>
          <w:r>
            <w:rPr>
              <w:rFonts w:hint="eastAsia" w:ascii="微软雅黑" w:hAnsi="微软雅黑" w:eastAsia="微软雅黑" w:cs="微软雅黑"/>
              <w:szCs w:val="21"/>
            </w:rPr>
            <w:fldChar w:fldCharType="separate"/>
          </w:r>
          <w:r>
            <w:rPr>
              <w:rFonts w:hint="eastAsia" w:ascii="黑体" w:hAnsi="黑体" w:eastAsia="黑体" w:cs="宋体"/>
              <w:bCs/>
              <w:szCs w:val="32"/>
            </w:rPr>
            <w:t>二、</w:t>
          </w:r>
          <w:r>
            <w:rPr>
              <w:rFonts w:hint="eastAsia" w:ascii="黑体" w:hAnsi="黑体" w:eastAsia="黑体" w:cs="宋体"/>
              <w:bCs/>
              <w:szCs w:val="32"/>
              <w:lang w:val="en-US" w:eastAsia="zh-CN"/>
            </w:rPr>
            <w:t>就业形式</w:t>
          </w:r>
          <w:r>
            <w:rPr>
              <w:rFonts w:hint="eastAsia" w:ascii="黑体" w:hAnsi="黑体" w:eastAsia="黑体" w:cs="宋体"/>
              <w:bCs/>
              <w:szCs w:val="32"/>
            </w:rPr>
            <w:t>变化趋势</w:t>
          </w:r>
          <w:r>
            <w:tab/>
          </w:r>
          <w:r>
            <w:fldChar w:fldCharType="begin"/>
          </w:r>
          <w:r>
            <w:instrText xml:space="preserve"> PAGEREF _Toc27545 \h </w:instrText>
          </w:r>
          <w:r>
            <w:fldChar w:fldCharType="separate"/>
          </w:r>
          <w:r>
            <w:t>28</w:t>
          </w:r>
          <w:r>
            <w:fldChar w:fldCharType="end"/>
          </w:r>
          <w:r>
            <w:rPr>
              <w:rFonts w:hint="eastAsia" w:ascii="微软雅黑" w:hAnsi="微软雅黑" w:eastAsia="微软雅黑" w:cs="微软雅黑"/>
              <w:szCs w:val="21"/>
            </w:rPr>
            <w:fldChar w:fldCharType="end"/>
          </w:r>
        </w:p>
        <w:p w14:paraId="0264EFF1">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_Toc16873 </w:instrText>
          </w:r>
          <w:r>
            <w:rPr>
              <w:rFonts w:hint="eastAsia" w:ascii="微软雅黑" w:hAnsi="微软雅黑" w:eastAsia="微软雅黑" w:cs="微软雅黑"/>
              <w:szCs w:val="21"/>
            </w:rPr>
            <w:fldChar w:fldCharType="separate"/>
          </w:r>
          <w:r>
            <w:rPr>
              <w:rFonts w:hint="eastAsia" w:cs="宋体" w:asciiTheme="majorEastAsia" w:hAnsiTheme="majorEastAsia" w:eastAsiaTheme="majorEastAsia"/>
              <w:bCs/>
              <w:szCs w:val="44"/>
            </w:rPr>
            <w:t>第五篇  对教育教学的反馈</w:t>
          </w:r>
          <w:r>
            <w:tab/>
          </w:r>
          <w:r>
            <w:fldChar w:fldCharType="begin"/>
          </w:r>
          <w:r>
            <w:instrText xml:space="preserve"> PAGEREF _Toc16873 \h </w:instrText>
          </w:r>
          <w:r>
            <w:fldChar w:fldCharType="separate"/>
          </w:r>
          <w:r>
            <w:t>29</w:t>
          </w:r>
          <w:r>
            <w:fldChar w:fldCharType="end"/>
          </w:r>
          <w:r>
            <w:rPr>
              <w:rFonts w:hint="eastAsia" w:ascii="微软雅黑" w:hAnsi="微软雅黑" w:eastAsia="微软雅黑" w:cs="微软雅黑"/>
              <w:szCs w:val="21"/>
            </w:rPr>
            <w:fldChar w:fldCharType="end"/>
          </w:r>
        </w:p>
        <w:p w14:paraId="02884308">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_Toc26256 </w:instrText>
          </w:r>
          <w:r>
            <w:rPr>
              <w:rFonts w:hint="eastAsia" w:ascii="微软雅黑" w:hAnsi="微软雅黑" w:eastAsia="微软雅黑" w:cs="微软雅黑"/>
              <w:szCs w:val="21"/>
            </w:rPr>
            <w:fldChar w:fldCharType="separate"/>
          </w:r>
          <w:r>
            <w:rPr>
              <w:rFonts w:hint="eastAsia" w:ascii="黑体" w:hAnsi="黑体" w:eastAsia="黑体" w:cs="宋体"/>
              <w:bCs/>
              <w:szCs w:val="32"/>
            </w:rPr>
            <w:t>一、对母校的满意度</w:t>
          </w:r>
          <w:r>
            <w:tab/>
          </w:r>
          <w:r>
            <w:fldChar w:fldCharType="begin"/>
          </w:r>
          <w:r>
            <w:instrText xml:space="preserve"> PAGEREF _Toc26256 \h </w:instrText>
          </w:r>
          <w:r>
            <w:fldChar w:fldCharType="separate"/>
          </w:r>
          <w:r>
            <w:t>29</w:t>
          </w:r>
          <w:r>
            <w:fldChar w:fldCharType="end"/>
          </w:r>
          <w:r>
            <w:rPr>
              <w:rFonts w:hint="eastAsia" w:ascii="微软雅黑" w:hAnsi="微软雅黑" w:eastAsia="微软雅黑" w:cs="微软雅黑"/>
              <w:szCs w:val="21"/>
            </w:rPr>
            <w:fldChar w:fldCharType="end"/>
          </w:r>
        </w:p>
        <w:p w14:paraId="58CEE0EE">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_Toc32390 </w:instrText>
          </w:r>
          <w:r>
            <w:rPr>
              <w:rFonts w:hint="eastAsia" w:ascii="微软雅黑" w:hAnsi="微软雅黑" w:eastAsia="微软雅黑" w:cs="微软雅黑"/>
              <w:szCs w:val="21"/>
            </w:rPr>
            <w:fldChar w:fldCharType="separate"/>
          </w:r>
          <w:r>
            <w:rPr>
              <w:rFonts w:hint="eastAsia" w:ascii="黑体" w:hAnsi="黑体" w:eastAsia="黑体" w:cs="宋体"/>
              <w:bCs/>
              <w:szCs w:val="32"/>
            </w:rPr>
            <w:t>二、对母校教育教学的评价</w:t>
          </w:r>
          <w:r>
            <w:tab/>
          </w:r>
          <w:r>
            <w:fldChar w:fldCharType="begin"/>
          </w:r>
          <w:r>
            <w:instrText xml:space="preserve"> PAGEREF _Toc32390 \h </w:instrText>
          </w:r>
          <w:r>
            <w:fldChar w:fldCharType="separate"/>
          </w:r>
          <w:r>
            <w:t>30</w:t>
          </w:r>
          <w:r>
            <w:fldChar w:fldCharType="end"/>
          </w:r>
          <w:r>
            <w:rPr>
              <w:rFonts w:hint="eastAsia" w:ascii="微软雅黑" w:hAnsi="微软雅黑" w:eastAsia="微软雅黑" w:cs="微软雅黑"/>
              <w:szCs w:val="21"/>
            </w:rPr>
            <w:fldChar w:fldCharType="end"/>
          </w:r>
        </w:p>
        <w:p w14:paraId="473E51DC">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_Toc28375 </w:instrText>
          </w:r>
          <w:r>
            <w:rPr>
              <w:rFonts w:hint="eastAsia" w:ascii="微软雅黑" w:hAnsi="微软雅黑" w:eastAsia="微软雅黑" w:cs="微软雅黑"/>
              <w:szCs w:val="21"/>
            </w:rPr>
            <w:fldChar w:fldCharType="separate"/>
          </w:r>
          <w:r>
            <w:rPr>
              <w:rFonts w:hint="eastAsia" w:ascii="楷体" w:hAnsi="楷体" w:eastAsia="楷体" w:cs="仿宋"/>
              <w:bCs/>
              <w:szCs w:val="32"/>
            </w:rPr>
            <w:t>（一）专业课评价</w:t>
          </w:r>
          <w:r>
            <w:tab/>
          </w:r>
          <w:r>
            <w:fldChar w:fldCharType="begin"/>
          </w:r>
          <w:r>
            <w:instrText xml:space="preserve"> PAGEREF _Toc28375 \h </w:instrText>
          </w:r>
          <w:r>
            <w:fldChar w:fldCharType="separate"/>
          </w:r>
          <w:r>
            <w:t>30</w:t>
          </w:r>
          <w:r>
            <w:fldChar w:fldCharType="end"/>
          </w:r>
          <w:r>
            <w:rPr>
              <w:rFonts w:hint="eastAsia" w:ascii="微软雅黑" w:hAnsi="微软雅黑" w:eastAsia="微软雅黑" w:cs="微软雅黑"/>
              <w:szCs w:val="21"/>
            </w:rPr>
            <w:fldChar w:fldCharType="end"/>
          </w:r>
        </w:p>
        <w:p w14:paraId="7ACF2686">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_Toc22396 </w:instrText>
          </w:r>
          <w:r>
            <w:rPr>
              <w:rFonts w:hint="eastAsia" w:ascii="微软雅黑" w:hAnsi="微软雅黑" w:eastAsia="微软雅黑" w:cs="微软雅黑"/>
              <w:szCs w:val="21"/>
            </w:rPr>
            <w:fldChar w:fldCharType="separate"/>
          </w:r>
          <w:r>
            <w:rPr>
              <w:rFonts w:hint="eastAsia" w:ascii="楷体" w:hAnsi="楷体" w:eastAsia="楷体" w:cs="仿宋"/>
              <w:bCs/>
              <w:szCs w:val="32"/>
            </w:rPr>
            <w:t>（二）实践教学环节评价</w:t>
          </w:r>
          <w:r>
            <w:tab/>
          </w:r>
          <w:r>
            <w:fldChar w:fldCharType="begin"/>
          </w:r>
          <w:r>
            <w:instrText xml:space="preserve"> PAGEREF _Toc22396 \h </w:instrText>
          </w:r>
          <w:r>
            <w:fldChar w:fldCharType="separate"/>
          </w:r>
          <w:r>
            <w:t>31</w:t>
          </w:r>
          <w:r>
            <w:fldChar w:fldCharType="end"/>
          </w:r>
          <w:r>
            <w:rPr>
              <w:rFonts w:hint="eastAsia" w:ascii="微软雅黑" w:hAnsi="微软雅黑" w:eastAsia="微软雅黑" w:cs="微软雅黑"/>
              <w:szCs w:val="21"/>
            </w:rPr>
            <w:fldChar w:fldCharType="end"/>
          </w:r>
        </w:p>
        <w:p w14:paraId="0E0236DC">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_Toc2614 </w:instrText>
          </w:r>
          <w:r>
            <w:rPr>
              <w:rFonts w:hint="eastAsia" w:ascii="微软雅黑" w:hAnsi="微软雅黑" w:eastAsia="微软雅黑" w:cs="微软雅黑"/>
              <w:szCs w:val="21"/>
            </w:rPr>
            <w:fldChar w:fldCharType="separate"/>
          </w:r>
          <w:r>
            <w:rPr>
              <w:rFonts w:hint="eastAsia" w:ascii="楷体" w:hAnsi="楷体" w:eastAsia="楷体" w:cs="仿宋"/>
              <w:bCs/>
              <w:szCs w:val="32"/>
            </w:rPr>
            <w:t>（三）任课教师评价</w:t>
          </w:r>
          <w:r>
            <w:tab/>
          </w:r>
          <w:r>
            <w:fldChar w:fldCharType="begin"/>
          </w:r>
          <w:r>
            <w:instrText xml:space="preserve"> PAGEREF _Toc2614 \h </w:instrText>
          </w:r>
          <w:r>
            <w:fldChar w:fldCharType="separate"/>
          </w:r>
          <w:r>
            <w:t>31</w:t>
          </w:r>
          <w:r>
            <w:fldChar w:fldCharType="end"/>
          </w:r>
          <w:r>
            <w:rPr>
              <w:rFonts w:hint="eastAsia" w:ascii="微软雅黑" w:hAnsi="微软雅黑" w:eastAsia="微软雅黑" w:cs="微软雅黑"/>
              <w:szCs w:val="21"/>
            </w:rPr>
            <w:fldChar w:fldCharType="end"/>
          </w:r>
        </w:p>
        <w:p w14:paraId="15BC2F62">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_Toc8123 </w:instrText>
          </w:r>
          <w:r>
            <w:rPr>
              <w:rFonts w:hint="eastAsia" w:ascii="微软雅黑" w:hAnsi="微软雅黑" w:eastAsia="微软雅黑" w:cs="微软雅黑"/>
              <w:szCs w:val="21"/>
            </w:rPr>
            <w:fldChar w:fldCharType="separate"/>
          </w:r>
          <w:r>
            <w:rPr>
              <w:rFonts w:hint="eastAsia" w:ascii="黑体" w:hAnsi="黑体" w:eastAsia="黑体" w:cs="宋体"/>
              <w:bCs/>
              <w:szCs w:val="32"/>
            </w:rPr>
            <w:t>三、对教育教学的反馈建议</w:t>
          </w:r>
          <w:r>
            <w:tab/>
          </w:r>
          <w:r>
            <w:fldChar w:fldCharType="begin"/>
          </w:r>
          <w:r>
            <w:instrText xml:space="preserve"> PAGEREF _Toc8123 \h </w:instrText>
          </w:r>
          <w:r>
            <w:fldChar w:fldCharType="separate"/>
          </w:r>
          <w:r>
            <w:t>32</w:t>
          </w:r>
          <w:r>
            <w:fldChar w:fldCharType="end"/>
          </w:r>
          <w:r>
            <w:rPr>
              <w:rFonts w:hint="eastAsia" w:ascii="微软雅黑" w:hAnsi="微软雅黑" w:eastAsia="微软雅黑" w:cs="微软雅黑"/>
              <w:szCs w:val="21"/>
            </w:rPr>
            <w:fldChar w:fldCharType="end"/>
          </w:r>
        </w:p>
        <w:p w14:paraId="57992016">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_Toc27722 </w:instrText>
          </w:r>
          <w:r>
            <w:rPr>
              <w:rFonts w:hint="eastAsia" w:ascii="微软雅黑" w:hAnsi="微软雅黑" w:eastAsia="微软雅黑" w:cs="微软雅黑"/>
              <w:szCs w:val="21"/>
            </w:rPr>
            <w:fldChar w:fldCharType="separate"/>
          </w:r>
          <w:r>
            <w:rPr>
              <w:rFonts w:hint="eastAsia" w:cs="宋体" w:asciiTheme="majorEastAsia" w:hAnsiTheme="majorEastAsia" w:eastAsiaTheme="majorEastAsia"/>
              <w:bCs/>
              <w:szCs w:val="44"/>
            </w:rPr>
            <w:t>第六篇  就业创业典型事迹</w:t>
          </w:r>
          <w:r>
            <w:tab/>
          </w:r>
          <w:r>
            <w:fldChar w:fldCharType="begin"/>
          </w:r>
          <w:r>
            <w:instrText xml:space="preserve"> PAGEREF _Toc27722 \h </w:instrText>
          </w:r>
          <w:r>
            <w:fldChar w:fldCharType="separate"/>
          </w:r>
          <w:r>
            <w:t>33</w:t>
          </w:r>
          <w:r>
            <w:fldChar w:fldCharType="end"/>
          </w:r>
          <w:r>
            <w:rPr>
              <w:rFonts w:hint="eastAsia" w:ascii="微软雅黑" w:hAnsi="微软雅黑" w:eastAsia="微软雅黑" w:cs="微软雅黑"/>
              <w:szCs w:val="21"/>
            </w:rPr>
            <w:fldChar w:fldCharType="end"/>
          </w:r>
        </w:p>
        <w:p w14:paraId="10837E7E">
          <w:pPr>
            <w:pStyle w:val="6"/>
            <w:tabs>
              <w:tab w:val="right" w:leader="dot" w:pos="8312"/>
            </w:tabs>
          </w:pPr>
          <w:r>
            <w:rPr>
              <w:rFonts w:hint="eastAsia" w:ascii="微软雅黑" w:hAnsi="微软雅黑" w:eastAsia="微软雅黑" w:cs="微软雅黑"/>
              <w:szCs w:val="21"/>
            </w:rPr>
            <w:fldChar w:fldCharType="begin"/>
          </w:r>
          <w:r>
            <w:rPr>
              <w:rFonts w:hint="eastAsia" w:ascii="微软雅黑" w:hAnsi="微软雅黑" w:eastAsia="微软雅黑" w:cs="微软雅黑"/>
              <w:szCs w:val="21"/>
            </w:rPr>
            <w:instrText xml:space="preserve"> HYPERLINK \l _Toc24559 </w:instrText>
          </w:r>
          <w:r>
            <w:rPr>
              <w:rFonts w:hint="eastAsia" w:ascii="微软雅黑" w:hAnsi="微软雅黑" w:eastAsia="微软雅黑" w:cs="微软雅黑"/>
              <w:szCs w:val="21"/>
            </w:rPr>
            <w:fldChar w:fldCharType="separate"/>
          </w:r>
          <w:r>
            <w:rPr>
              <w:rFonts w:hint="eastAsia" w:ascii="黑体" w:hAnsi="黑体" w:eastAsia="黑体" w:cs="仿宋"/>
              <w:bCs/>
              <w:szCs w:val="32"/>
              <w:highlight w:val="none"/>
            </w:rPr>
            <w:t>以技立身、以教报国</w:t>
          </w:r>
          <w:r>
            <w:tab/>
          </w:r>
          <w:r>
            <w:fldChar w:fldCharType="begin"/>
          </w:r>
          <w:r>
            <w:instrText xml:space="preserve"> PAGEREF _Toc24559 \h </w:instrText>
          </w:r>
          <w:r>
            <w:fldChar w:fldCharType="separate"/>
          </w:r>
          <w:r>
            <w:t>33</w:t>
          </w:r>
          <w:r>
            <w:fldChar w:fldCharType="end"/>
          </w:r>
          <w:r>
            <w:rPr>
              <w:rFonts w:hint="eastAsia" w:ascii="微软雅黑" w:hAnsi="微软雅黑" w:eastAsia="微软雅黑" w:cs="微软雅黑"/>
              <w:szCs w:val="21"/>
            </w:rPr>
            <w:fldChar w:fldCharType="end"/>
          </w:r>
        </w:p>
        <w:p w14:paraId="6F58FEAB">
          <w:pPr>
            <w:pStyle w:val="6"/>
            <w:keepNext w:val="0"/>
            <w:keepLines w:val="0"/>
            <w:pageBreakBefore w:val="0"/>
            <w:widowControl w:val="0"/>
            <w:tabs>
              <w:tab w:val="right" w:leader="dot" w:pos="8296"/>
            </w:tabs>
            <w:kinsoku/>
            <w:wordWrap/>
            <w:overflowPunct/>
            <w:topLinePunct w:val="0"/>
            <w:autoSpaceDE/>
            <w:autoSpaceDN/>
            <w:bidi w:val="0"/>
            <w:adjustRightInd/>
            <w:snapToGrid/>
            <w:spacing w:line="240" w:lineRule="auto"/>
            <w:jc w:val="left"/>
            <w:textAlignment w:val="auto"/>
            <w:rPr>
              <w:rFonts w:ascii="微软雅黑" w:hAnsi="微软雅黑" w:eastAsia="微软雅黑" w:cs="微软雅黑"/>
              <w:sz w:val="28"/>
              <w:szCs w:val="21"/>
            </w:rPr>
          </w:pPr>
          <w:r>
            <w:rPr>
              <w:rFonts w:hint="eastAsia" w:ascii="微软雅黑" w:hAnsi="微软雅黑" w:eastAsia="微软雅黑" w:cs="微软雅黑"/>
              <w:szCs w:val="21"/>
            </w:rPr>
            <w:fldChar w:fldCharType="end"/>
          </w:r>
        </w:p>
      </w:sdtContent>
    </w:sdt>
    <w:p w14:paraId="2C7D525B">
      <w:pPr>
        <w:tabs>
          <w:tab w:val="left" w:pos="5370"/>
        </w:tabs>
        <w:rPr>
          <w:rFonts w:ascii="微软雅黑" w:hAnsi="微软雅黑" w:eastAsia="微软雅黑" w:cs="微软雅黑"/>
          <w:b/>
          <w:bCs/>
          <w:color w:val="595959" w:themeColor="text1" w:themeTint="A6"/>
          <w:sz w:val="44"/>
          <w:szCs w:val="44"/>
          <w14:textFill>
            <w14:solidFill>
              <w14:schemeClr w14:val="tx1">
                <w14:lumMod w14:val="65000"/>
                <w14:lumOff w14:val="35000"/>
              </w14:schemeClr>
            </w14:solidFill>
          </w14:textFill>
        </w:rPr>
        <w:sectPr>
          <w:footerReference r:id="rId7" w:type="default"/>
          <w:pgSz w:w="11906" w:h="16838"/>
          <w:pgMar w:top="1440" w:right="1797" w:bottom="1440" w:left="1797" w:header="851" w:footer="992" w:gutter="0"/>
          <w:pgNumType w:fmt="decimal" w:start="3"/>
          <w:cols w:space="425" w:num="1"/>
          <w:docGrid w:type="lines" w:linePitch="312" w:charSpace="0"/>
        </w:sectPr>
      </w:pPr>
    </w:p>
    <w:p w14:paraId="57F73765">
      <w:pPr>
        <w:tabs>
          <w:tab w:val="left" w:pos="5370"/>
        </w:tabs>
        <w:rPr>
          <w:rFonts w:ascii="微软雅黑" w:hAnsi="微软雅黑" w:eastAsia="微软雅黑" w:cs="微软雅黑"/>
        </w:rPr>
      </w:pPr>
      <w:r>
        <w:rPr>
          <w:rFonts w:ascii="宋体" w:hAnsi="宋体" w:eastAsia="宋体" w:cs="宋体"/>
          <w:b/>
          <w:bCs/>
          <w:sz w:val="44"/>
          <w:szCs w:val="44"/>
        </w:rPr>
        <mc:AlternateContent>
          <mc:Choice Requires="wps">
            <w:drawing>
              <wp:anchor distT="45720" distB="45720" distL="114300" distR="114300" simplePos="0" relativeHeight="251662336" behindDoc="0" locked="0" layoutInCell="1" allowOverlap="1">
                <wp:simplePos x="0" y="0"/>
                <wp:positionH relativeFrom="margin">
                  <wp:align>center</wp:align>
                </wp:positionH>
                <wp:positionV relativeFrom="paragraph">
                  <wp:posOffset>95250</wp:posOffset>
                </wp:positionV>
                <wp:extent cx="1533525" cy="628015"/>
                <wp:effectExtent l="0" t="0" r="0" b="635"/>
                <wp:wrapSquare wrapText="bothSides"/>
                <wp:docPr id="1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533525" cy="628015"/>
                        </a:xfrm>
                        <a:prstGeom prst="rect">
                          <a:avLst/>
                        </a:prstGeom>
                        <a:noFill/>
                        <a:ln w="9525">
                          <a:noFill/>
                          <a:miter lim="800000"/>
                        </a:ln>
                      </wps:spPr>
                      <wps:txbx>
                        <w:txbxContent>
                          <w:p w14:paraId="1E5F37BA">
                            <w:pPr>
                              <w:ind w:left="522" w:hanging="522" w:hangingChars="100"/>
                              <w:rPr>
                                <w:b/>
                                <w:color w:val="FFFFFF" w:themeColor="background1"/>
                                <w:sz w:val="52"/>
                                <w:szCs w:val="52"/>
                                <w14:textFill>
                                  <w14:solidFill>
                                    <w14:schemeClr w14:val="bg1"/>
                                  </w14:solidFill>
                                </w14:textFill>
                              </w:rPr>
                            </w:pPr>
                            <w:r>
                              <w:rPr>
                                <w:rFonts w:hint="eastAsia"/>
                                <w:b/>
                                <w:color w:val="FFFFFF" w:themeColor="background1"/>
                                <w:sz w:val="52"/>
                                <w:szCs w:val="52"/>
                                <w14:textFill>
                                  <w14:solidFill>
                                    <w14:schemeClr w14:val="bg1"/>
                                  </w14:solidFill>
                                </w14:textFill>
                              </w:rPr>
                              <w:t>学校概况</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7.5pt;height:49.45pt;width:120.75pt;mso-position-horizontal:center;mso-position-horizontal-relative:margin;mso-wrap-distance-bottom:3.6pt;mso-wrap-distance-left:9pt;mso-wrap-distance-right:9pt;mso-wrap-distance-top:3.6pt;z-index:251662336;mso-width-relative:page;mso-height-relative:page;" filled="f" stroked="f" coordsize="21600,21600" o:gfxdata="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HcnNAtQAAAAH&#10;AQAADwAAAAAAAAABACAAAAAiAAAAZHJzL2Rvd25yZXYueG1sUEsBAhQAFAAAAAgAh07iQI9Od1Qg&#10;AgAAKgQAAA4AAAAAAAAAAQAgAAAAIwEAAGRycy9lMm9Eb2MueG1sUEsFBgAAAAAGAAYAWQEAALUF&#10;AAAAAA==&#10;">
                <v:fill on="f" focussize="0,0"/>
                <v:stroke on="f" miterlimit="8" joinstyle="miter"/>
                <v:imagedata o:title=""/>
                <o:lock v:ext="edit" aspectratio="f"/>
                <v:textbox>
                  <w:txbxContent>
                    <w:p w14:paraId="1E5F37BA">
                      <w:pPr>
                        <w:ind w:left="522" w:hanging="522" w:hangingChars="100"/>
                        <w:rPr>
                          <w:b/>
                          <w:color w:val="FFFFFF" w:themeColor="background1"/>
                          <w:sz w:val="52"/>
                          <w:szCs w:val="52"/>
                          <w14:textFill>
                            <w14:solidFill>
                              <w14:schemeClr w14:val="bg1"/>
                            </w14:solidFill>
                          </w14:textFill>
                        </w:rPr>
                      </w:pPr>
                      <w:r>
                        <w:rPr>
                          <w:rFonts w:hint="eastAsia"/>
                          <w:b/>
                          <w:color w:val="FFFFFF" w:themeColor="background1"/>
                          <w:sz w:val="52"/>
                          <w:szCs w:val="52"/>
                          <w14:textFill>
                            <w14:solidFill>
                              <w14:schemeClr w14:val="bg1"/>
                            </w14:solidFill>
                          </w14:textFill>
                        </w:rPr>
                        <w:t>学校概况</w:t>
                      </w:r>
                    </w:p>
                  </w:txbxContent>
                </v:textbox>
                <w10:wrap type="square"/>
              </v:shape>
            </w:pict>
          </mc:Fallback>
        </mc:AlternateContent>
      </w:r>
      <w:r>
        <w:rPr>
          <w:rFonts w:ascii="微软雅黑" w:hAnsi="微软雅黑" w:eastAsia="微软雅黑" w:cs="微软雅黑"/>
        </w:rPr>
        <w:drawing>
          <wp:anchor distT="0" distB="0" distL="114300" distR="114300" simplePos="0" relativeHeight="251661312" behindDoc="0" locked="0" layoutInCell="1" allowOverlap="1">
            <wp:simplePos x="0" y="0"/>
            <wp:positionH relativeFrom="margin">
              <wp:align>left</wp:align>
            </wp:positionH>
            <wp:positionV relativeFrom="paragraph">
              <wp:posOffset>76200</wp:posOffset>
            </wp:positionV>
            <wp:extent cx="5340350" cy="628015"/>
            <wp:effectExtent l="0" t="0" r="0" b="635"/>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340350" cy="628015"/>
                    </a:xfrm>
                    <a:prstGeom prst="rect">
                      <a:avLst/>
                    </a:prstGeom>
                    <a:noFill/>
                  </pic:spPr>
                </pic:pic>
              </a:graphicData>
            </a:graphic>
          </wp:anchor>
        </w:drawing>
      </w:r>
    </w:p>
    <w:p w14:paraId="7C317EB6">
      <w:pPr>
        <w:spacing w:line="360" w:lineRule="auto"/>
        <w:ind w:firstLine="640" w:firstLineChars="200"/>
        <w:jc w:val="left"/>
        <w:rPr>
          <w:rFonts w:ascii="仿宋" w:hAnsi="仿宋" w:eastAsia="仿宋" w:cs="宋体"/>
          <w:sz w:val="32"/>
          <w:szCs w:val="32"/>
        </w:rPr>
      </w:pPr>
      <w:r>
        <w:rPr>
          <w:rFonts w:hint="eastAsia" w:ascii="仿宋" w:hAnsi="仿宋" w:eastAsia="仿宋" w:cs="宋体"/>
          <w:sz w:val="32"/>
          <w:szCs w:val="32"/>
        </w:rPr>
        <w:t>阜新高等专科学校是由阜新市人民政府主办的综合性市属高等职业院校。学校始建于1958年，原名为阜新市师范专科学校；1984年经辽宁省人民政府批准，成立阜新师范专科学校；1993年，经国家教委批准，更名为阜新高等专科学校。按照省、市政府地方高等院校调整的有关要求，自1999年至2023年期间，先后将阜新师范学校、阜新职工大学、阜新市财贸学校、辽宁广播电视大学阜新分校、阜新公路学校、阜新卫生学校并入本校。</w:t>
      </w:r>
    </w:p>
    <w:p w14:paraId="32E8CDC8">
      <w:pPr>
        <w:spacing w:line="360" w:lineRule="auto"/>
        <w:ind w:firstLine="640" w:firstLineChars="200"/>
        <w:jc w:val="left"/>
        <w:rPr>
          <w:rFonts w:ascii="仿宋" w:hAnsi="仿宋" w:eastAsia="仿宋" w:cs="宋体"/>
          <w:sz w:val="32"/>
          <w:szCs w:val="32"/>
        </w:rPr>
      </w:pPr>
      <w:r>
        <w:rPr>
          <w:rFonts w:hint="eastAsia" w:ascii="仿宋" w:hAnsi="仿宋" w:eastAsia="仿宋" w:cs="宋体"/>
          <w:sz w:val="32"/>
          <w:szCs w:val="32"/>
        </w:rPr>
        <w:t xml:space="preserve"> 学校位于辽宁省阜新市，占地面积约16.6万平方米，建筑面积14万平方米；固定资产总值2亿余元，教学仪器设备总值9200余万元；图书馆藏图书余50余万册，中外期刊600余种。现有教职工560人，其中专任教师440人，副高级以上职称258人，“双师型”教师占比69.2%。拥有辽宁省职教名师1人，辽宁省高等职业教育专业带头人5人，阜新市劳动模范2人,阜新市劳模大师工作室1个。学校共开设31个高职专业，6个中职专业，全日制在校生9800余人，继续教育学生3400余人。</w:t>
      </w:r>
    </w:p>
    <w:p w14:paraId="5524F384">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学校设有“基础教育、现代农牧、医学护理、装备制造、交通土建、文旅商贸、电子信息”七个专业群，其中现代农牧产业、基础教育和交通与土建三个专业群为首批辽宁省兴辽卓越专业群；动物医学专业和汽车制造与实验技术专业为辽宁省现代学徒制示范专业。学校建有各类专业实验室及实训中心150余个。</w:t>
      </w:r>
    </w:p>
    <w:p w14:paraId="555E03D2">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学校牢固树立教学工作中心地位，不断提高专业人才培养质量，着力为区域产业经济提供实用型技术人才支撑。专业建设紧密跟进区域产业结构调整步伐，将围绕精细化工、医药产业、食品加工、新型能源、数字产业、现代农业等方面加大专业结构优化和调整，不断强化地方高职院校对全市产业经济发展的服务能力。近五年获批辽宁省职业教育现代学徒制示范专业2个；以动物医学、道路与桥梁工程技术、学前教育等13个骨干专业为基础的“现代农牧产业专业群、基础教育专业群、交通与土建专业群”获批辽宁省兴辽卓越高职专业群建设专业；“兴阜养殖产业学校”为首批“辽宁省兴辽卓越产业学院建设项目”；获评辽宁省教学成果一等奖1项，二等奖2项；在国家职业教育资源库建设在线开放课程1门；辽宁省职业教育“十四五规划教材”2部；入选辽宁省在线教学课程典型案例1项，位列全省高职院校第四名；入选辽宁省首批课程思政典型案例3项。</w:t>
      </w:r>
    </w:p>
    <w:p w14:paraId="43856049">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学校坚持以高等职业教育为主体，以中等职业教育、成人继续教育为两翼的“一体两翼多元化”职业教育特色办学体系，积极落实新时代职业教育创新发展要求，立足我省产业经济发展对高职院校人才需求实际推进校企合作与产教融合任务，与辽宁宏图测绘、沈阳忠爱联盟动物医院有限公司、沈阳丛文教育等企业共建设校外实习就业基地139个。辽宁宏图测绘等合作企业为基础实施的“校企共建专业”、“订单班”10个。学校为辽宁省职工技能培训示范基地、阜新市退役军人培训基地，阜新市职工培训基地、阜新市康养医育人才培训基地。</w:t>
      </w:r>
    </w:p>
    <w:p w14:paraId="6BC2AAB9">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学校大力营造良好育人生态，扎实推进全员育人、全过程育人、全方位育人；教育教学实施过程性考核评价，强化学情分析，针对性提升学生的文化认同、职业认知、职业素养与专业技能的全面提高。推进“三全两育五提升”的特色育人模式，以全员全过程全方位做好大学生思想政治工作为主线，以立德树人为根本，对学生进行理想信念教育和社会主义核心价值观教育；实施思政课建设提升工程、师德建设提升工程、阵地建设提升工程、和谐校园建设提升工程和思政队伍建设提升工程。</w:t>
      </w:r>
    </w:p>
    <w:p w14:paraId="624E8BB3">
      <w:pPr>
        <w:spacing w:line="360" w:lineRule="auto"/>
        <w:ind w:firstLine="640" w:firstLineChars="200"/>
        <w:jc w:val="left"/>
        <w:rPr>
          <w:rFonts w:ascii="仿宋" w:hAnsi="仿宋" w:eastAsia="仿宋" w:cs="宋体"/>
          <w:sz w:val="32"/>
          <w:szCs w:val="32"/>
        </w:rPr>
      </w:pPr>
      <w:r>
        <w:rPr>
          <w:rFonts w:hint="eastAsia" w:ascii="仿宋" w:hAnsi="仿宋" w:eastAsia="仿宋" w:cs="宋体"/>
          <w:sz w:val="32"/>
          <w:szCs w:val="32"/>
        </w:rPr>
        <w:t>学校先后获得辽宁省就业工作先进集体、辽宁省思想政治工作研究先进集体、辽宁省绿色校园、辽宁省大学生志愿服务先进集体、辽宁省普通高等学校征集大学生入伍工作先进集体、辽宁省安全保卫先进单位、辽宁省三八红旗单位、辽宁省五四红旗团委、辽宁省共青团员先锋岗、辽宁省青年文明号等荣誉称号。</w:t>
      </w:r>
    </w:p>
    <w:p w14:paraId="421D7E9E">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学校高举习近平新时代中国特色社会主义思想伟大旗帜，坚持社会主义办学方向，落实立德树人根本任务，紧紧围绕服务学生全面发展和经济社会发展，秉承“修德砺能”校训精神，按照“师资队伍建设与人才培养质量并重、专业社会服务能力稳步提升”的总体思路，着力提升实用型专业人才培养质量，积极打造区域产业离不开、省域产业用得上的高职院校。</w:t>
      </w:r>
    </w:p>
    <w:p w14:paraId="2B2BD807">
      <w:pPr>
        <w:tabs>
          <w:tab w:val="left" w:pos="6390"/>
        </w:tabs>
        <w:spacing w:line="360" w:lineRule="auto"/>
        <w:ind w:firstLine="561"/>
        <w:jc w:val="left"/>
        <w:rPr>
          <w:rFonts w:ascii="宋体" w:hAnsi="宋体" w:eastAsia="宋体" w:cs="宋体"/>
          <w:sz w:val="24"/>
        </w:rPr>
      </w:pPr>
      <w:r>
        <w:rPr>
          <w:rFonts w:ascii="宋体" w:hAnsi="宋体" w:eastAsia="宋体" w:cs="宋体"/>
          <w:sz w:val="24"/>
        </w:rPr>
        <w:tab/>
      </w:r>
    </w:p>
    <w:p w14:paraId="036895A1">
      <w:pPr>
        <w:spacing w:line="360" w:lineRule="auto"/>
        <w:ind w:firstLine="561"/>
        <w:jc w:val="left"/>
        <w:rPr>
          <w:rFonts w:ascii="宋体" w:hAnsi="宋体" w:eastAsia="宋体" w:cs="宋体"/>
          <w:sz w:val="24"/>
        </w:rPr>
      </w:pPr>
    </w:p>
    <w:p w14:paraId="78B9AE14">
      <w:pPr>
        <w:tabs>
          <w:tab w:val="left" w:pos="6465"/>
        </w:tabs>
        <w:spacing w:line="360" w:lineRule="auto"/>
        <w:ind w:firstLine="561"/>
        <w:jc w:val="left"/>
        <w:rPr>
          <w:rFonts w:ascii="宋体" w:hAnsi="宋体" w:eastAsia="宋体" w:cs="宋体"/>
          <w:sz w:val="24"/>
        </w:rPr>
      </w:pPr>
      <w:r>
        <w:rPr>
          <w:rFonts w:ascii="宋体" w:hAnsi="宋体" w:eastAsia="宋体" w:cs="宋体"/>
          <w:sz w:val="24"/>
        </w:rPr>
        <w:tab/>
      </w:r>
    </w:p>
    <w:p w14:paraId="6B280511">
      <w:pPr>
        <w:spacing w:line="360" w:lineRule="auto"/>
        <w:ind w:firstLine="561"/>
        <w:jc w:val="left"/>
        <w:rPr>
          <w:rFonts w:ascii="宋体" w:hAnsi="宋体" w:eastAsia="宋体" w:cs="宋体"/>
          <w:sz w:val="24"/>
        </w:rPr>
      </w:pPr>
    </w:p>
    <w:p w14:paraId="2DD7E747">
      <w:pPr>
        <w:spacing w:line="720" w:lineRule="auto"/>
        <w:outlineLvl w:val="0"/>
        <w:rPr>
          <w:rFonts w:ascii="黑体" w:hAnsi="黑体" w:eastAsia="黑体" w:cs="宋体"/>
          <w:b/>
          <w:bCs/>
          <w:sz w:val="32"/>
          <w:szCs w:val="32"/>
        </w:rPr>
      </w:pPr>
    </w:p>
    <w:p w14:paraId="62F0BE06">
      <w:pPr>
        <w:spacing w:line="720" w:lineRule="auto"/>
        <w:outlineLvl w:val="0"/>
        <w:rPr>
          <w:rFonts w:ascii="黑体" w:hAnsi="黑体" w:eastAsia="黑体" w:cs="宋体"/>
          <w:b/>
          <w:bCs/>
          <w:sz w:val="32"/>
          <w:szCs w:val="32"/>
        </w:rPr>
      </w:pPr>
    </w:p>
    <w:p w14:paraId="1246DA31">
      <w:pPr>
        <w:spacing w:line="720" w:lineRule="auto"/>
        <w:outlineLvl w:val="0"/>
        <w:rPr>
          <w:rFonts w:hint="eastAsia" w:cs="宋体" w:asciiTheme="majorEastAsia" w:hAnsiTheme="majorEastAsia" w:eastAsiaTheme="majorEastAsia"/>
          <w:b/>
          <w:bCs/>
          <w:sz w:val="44"/>
          <w:szCs w:val="44"/>
        </w:rPr>
      </w:pPr>
      <w:bookmarkStart w:id="2" w:name="_Toc30317"/>
      <w:bookmarkStart w:id="3" w:name="_Toc10734"/>
      <w:bookmarkStart w:id="4" w:name="_Toc29832"/>
      <w:r>
        <w:rPr>
          <w:rFonts w:hint="eastAsia" w:ascii="黑体" w:hAnsi="黑体" w:eastAsia="黑体" w:cs="宋体"/>
          <w:b/>
          <w:bCs/>
          <w:sz w:val="32"/>
          <w:szCs w:val="32"/>
          <w:lang w:eastAsia="zh-CN"/>
        </w:rPr>
        <w:drawing>
          <wp:inline distT="0" distB="0" distL="114300" distR="114300">
            <wp:extent cx="5336540" cy="3557905"/>
            <wp:effectExtent l="0" t="0" r="16510" b="4445"/>
            <wp:docPr id="23" name="图片 23" descr="20211009225243_99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20211009225243_99079"/>
                    <pic:cNvPicPr>
                      <a:picLocks noChangeAspect="1"/>
                    </pic:cNvPicPr>
                  </pic:nvPicPr>
                  <pic:blipFill>
                    <a:blip r:embed="rId14"/>
                    <a:stretch>
                      <a:fillRect/>
                    </a:stretch>
                  </pic:blipFill>
                  <pic:spPr>
                    <a:xfrm>
                      <a:off x="0" y="0"/>
                      <a:ext cx="5336540" cy="3557905"/>
                    </a:xfrm>
                    <a:prstGeom prst="rect">
                      <a:avLst/>
                    </a:prstGeom>
                  </pic:spPr>
                </pic:pic>
              </a:graphicData>
            </a:graphic>
          </wp:inline>
        </w:drawing>
      </w:r>
      <w:bookmarkEnd w:id="2"/>
      <w:bookmarkEnd w:id="3"/>
      <w:bookmarkEnd w:id="4"/>
    </w:p>
    <w:p w14:paraId="6B16EDB5">
      <w:pPr>
        <w:spacing w:line="720" w:lineRule="auto"/>
        <w:jc w:val="center"/>
        <w:outlineLvl w:val="0"/>
        <w:rPr>
          <w:rFonts w:cs="宋体" w:asciiTheme="majorEastAsia" w:hAnsiTheme="majorEastAsia" w:eastAsiaTheme="majorEastAsia"/>
          <w:b/>
          <w:bCs/>
          <w:sz w:val="44"/>
          <w:szCs w:val="44"/>
        </w:rPr>
      </w:pPr>
      <w:bookmarkStart w:id="5" w:name="_Toc12498"/>
      <w:r>
        <w:rPr>
          <w:rFonts w:hint="eastAsia" w:cs="宋体" w:asciiTheme="majorEastAsia" w:hAnsiTheme="majorEastAsia" w:eastAsiaTheme="majorEastAsia"/>
          <w:b/>
          <w:bCs/>
          <w:sz w:val="44"/>
          <w:szCs w:val="44"/>
        </w:rPr>
        <w:t>第一篇  毕业生就业基本情况</w:t>
      </w:r>
      <w:bookmarkEnd w:id="5"/>
    </w:p>
    <w:p w14:paraId="78121645">
      <w:pPr>
        <w:spacing w:line="720" w:lineRule="auto"/>
        <w:ind w:firstLine="640" w:firstLineChars="200"/>
        <w:jc w:val="left"/>
        <w:outlineLvl w:val="0"/>
        <w:rPr>
          <w:rFonts w:ascii="黑体" w:hAnsi="黑体" w:eastAsia="黑体" w:cs="宋体"/>
          <w:bCs/>
          <w:sz w:val="32"/>
          <w:szCs w:val="32"/>
        </w:rPr>
      </w:pPr>
      <w:bookmarkStart w:id="6" w:name="_Toc9624"/>
      <w:r>
        <w:rPr>
          <w:rFonts w:hint="eastAsia" w:ascii="黑体" w:hAnsi="黑体" w:eastAsia="黑体" w:cs="宋体"/>
          <w:bCs/>
          <w:sz w:val="32"/>
          <w:szCs w:val="32"/>
        </w:rPr>
        <w:t>一、毕业生的规模和结构</w:t>
      </w:r>
      <w:bookmarkEnd w:id="6"/>
    </w:p>
    <w:p w14:paraId="797291AE">
      <w:pPr>
        <w:spacing w:line="360" w:lineRule="auto"/>
        <w:ind w:firstLine="321" w:firstLineChars="100"/>
        <w:outlineLvl w:val="0"/>
        <w:rPr>
          <w:rFonts w:ascii="楷体" w:hAnsi="楷体" w:eastAsia="楷体" w:cs="仿宋"/>
          <w:b/>
          <w:bCs/>
          <w:sz w:val="32"/>
          <w:szCs w:val="32"/>
        </w:rPr>
      </w:pPr>
      <w:bookmarkStart w:id="7" w:name="_Toc14899"/>
      <w:bookmarkStart w:id="8" w:name="_Toc9096"/>
      <w:r>
        <w:rPr>
          <w:rFonts w:hint="eastAsia" w:ascii="楷体" w:hAnsi="楷体" w:eastAsia="楷体" w:cs="仿宋"/>
          <w:b/>
          <w:bCs/>
          <w:sz w:val="32"/>
          <w:szCs w:val="32"/>
        </w:rPr>
        <w:t>（一）总体规模</w:t>
      </w:r>
      <w:bookmarkEnd w:id="7"/>
      <w:bookmarkEnd w:id="8"/>
    </w:p>
    <w:p w14:paraId="78570A8C">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阜新高等专科学校20</w:t>
      </w:r>
      <w:r>
        <w:rPr>
          <w:rFonts w:ascii="仿宋" w:hAnsi="仿宋" w:eastAsia="仿宋" w:cs="宋体"/>
          <w:sz w:val="32"/>
          <w:szCs w:val="32"/>
        </w:rPr>
        <w:t>2</w:t>
      </w:r>
      <w:r>
        <w:rPr>
          <w:rFonts w:hint="eastAsia" w:ascii="仿宋" w:hAnsi="仿宋" w:eastAsia="仿宋" w:cs="宋体"/>
          <w:sz w:val="32"/>
          <w:szCs w:val="32"/>
          <w:lang w:val="en-US" w:eastAsia="zh-CN"/>
        </w:rPr>
        <w:t>5</w:t>
      </w:r>
      <w:r>
        <w:rPr>
          <w:rFonts w:hint="eastAsia" w:ascii="仿宋" w:hAnsi="仿宋" w:eastAsia="仿宋" w:cs="宋体"/>
          <w:sz w:val="32"/>
          <w:szCs w:val="32"/>
        </w:rPr>
        <w:t>届毕业生总计</w:t>
      </w:r>
      <w:r>
        <w:rPr>
          <w:rFonts w:hint="eastAsia" w:ascii="仿宋" w:hAnsi="仿宋" w:eastAsia="仿宋" w:cs="宋体"/>
          <w:sz w:val="32"/>
          <w:szCs w:val="32"/>
          <w:lang w:val="en-US" w:eastAsia="zh-CN"/>
        </w:rPr>
        <w:t>2499</w:t>
      </w:r>
      <w:r>
        <w:rPr>
          <w:rFonts w:hint="eastAsia" w:ascii="仿宋" w:hAnsi="仿宋" w:eastAsia="仿宋" w:cs="宋体"/>
          <w:sz w:val="32"/>
          <w:szCs w:val="32"/>
        </w:rPr>
        <w:t>名。其中，男生</w:t>
      </w:r>
      <w:r>
        <w:rPr>
          <w:rFonts w:hint="eastAsia" w:ascii="仿宋" w:hAnsi="仿宋" w:eastAsia="仿宋" w:cs="宋体"/>
          <w:sz w:val="32"/>
          <w:szCs w:val="32"/>
          <w:lang w:val="en-US" w:eastAsia="zh-CN"/>
        </w:rPr>
        <w:t>966</w:t>
      </w:r>
      <w:r>
        <w:rPr>
          <w:rFonts w:hint="eastAsia" w:ascii="仿宋" w:hAnsi="仿宋" w:eastAsia="仿宋" w:cs="宋体"/>
          <w:sz w:val="32"/>
          <w:szCs w:val="32"/>
        </w:rPr>
        <w:t>人，女生</w:t>
      </w:r>
      <w:r>
        <w:rPr>
          <w:rFonts w:hint="eastAsia" w:ascii="仿宋" w:hAnsi="仿宋" w:eastAsia="仿宋" w:cs="宋体"/>
          <w:sz w:val="32"/>
          <w:szCs w:val="32"/>
          <w:lang w:val="en-US" w:eastAsia="zh-CN"/>
        </w:rPr>
        <w:t>1533</w:t>
      </w:r>
      <w:r>
        <w:rPr>
          <w:rFonts w:hint="eastAsia" w:ascii="仿宋" w:hAnsi="仿宋" w:eastAsia="仿宋" w:cs="宋体"/>
          <w:sz w:val="32"/>
          <w:szCs w:val="32"/>
        </w:rPr>
        <w:t>人，男女性别比例为</w:t>
      </w:r>
      <w:r>
        <w:rPr>
          <w:rFonts w:ascii="仿宋" w:hAnsi="仿宋" w:eastAsia="仿宋" w:cs="宋体"/>
          <w:sz w:val="32"/>
          <w:szCs w:val="32"/>
        </w:rPr>
        <w:t>0.6</w:t>
      </w:r>
      <w:r>
        <w:rPr>
          <w:rFonts w:hint="eastAsia" w:ascii="仿宋" w:hAnsi="仿宋" w:eastAsia="仿宋" w:cs="宋体"/>
          <w:sz w:val="32"/>
          <w:szCs w:val="32"/>
          <w:lang w:val="en-US" w:eastAsia="zh-CN"/>
        </w:rPr>
        <w:t>3</w:t>
      </w:r>
      <w:r>
        <w:rPr>
          <w:rFonts w:hint="eastAsia" w:ascii="仿宋" w:hAnsi="仿宋" w:eastAsia="仿宋" w:cs="宋体"/>
          <w:sz w:val="32"/>
          <w:szCs w:val="32"/>
        </w:rPr>
        <w:t>:1。按照生源所在地分为省内生源</w:t>
      </w:r>
      <w:r>
        <w:rPr>
          <w:rFonts w:hint="eastAsia" w:ascii="仿宋" w:hAnsi="仿宋" w:eastAsia="仿宋" w:cs="宋体"/>
          <w:sz w:val="32"/>
          <w:szCs w:val="32"/>
          <w:lang w:val="en-US" w:eastAsia="zh-CN"/>
        </w:rPr>
        <w:t>1735</w:t>
      </w:r>
      <w:r>
        <w:rPr>
          <w:rFonts w:hint="eastAsia" w:ascii="仿宋" w:hAnsi="仿宋" w:eastAsia="仿宋" w:cs="宋体"/>
          <w:sz w:val="32"/>
          <w:szCs w:val="32"/>
        </w:rPr>
        <w:t>人，省外生源</w:t>
      </w:r>
      <w:r>
        <w:rPr>
          <w:rFonts w:hint="eastAsia" w:ascii="仿宋" w:hAnsi="仿宋" w:eastAsia="仿宋" w:cs="宋体"/>
          <w:sz w:val="32"/>
          <w:szCs w:val="32"/>
          <w:lang w:val="en-US" w:eastAsia="zh-CN"/>
        </w:rPr>
        <w:t>764</w:t>
      </w:r>
      <w:r>
        <w:rPr>
          <w:rFonts w:hint="eastAsia" w:ascii="仿宋" w:hAnsi="仿宋" w:eastAsia="仿宋" w:cs="宋体"/>
          <w:sz w:val="32"/>
          <w:szCs w:val="32"/>
        </w:rPr>
        <w:t>人；毕业生中还包括贫困生</w:t>
      </w:r>
      <w:r>
        <w:rPr>
          <w:rFonts w:hint="eastAsia" w:ascii="仿宋" w:hAnsi="仿宋" w:eastAsia="仿宋" w:cs="宋体"/>
          <w:sz w:val="32"/>
          <w:szCs w:val="32"/>
          <w:lang w:val="en-US" w:eastAsia="zh-CN"/>
        </w:rPr>
        <w:t>302</w:t>
      </w:r>
      <w:r>
        <w:rPr>
          <w:rFonts w:hint="eastAsia" w:ascii="仿宋" w:hAnsi="仿宋" w:eastAsia="仿宋" w:cs="宋体"/>
          <w:sz w:val="32"/>
          <w:szCs w:val="32"/>
        </w:rPr>
        <w:t>人（占毕业生总数的</w:t>
      </w:r>
      <w:r>
        <w:rPr>
          <w:rFonts w:hint="eastAsia" w:ascii="仿宋" w:hAnsi="仿宋" w:eastAsia="仿宋" w:cs="宋体"/>
          <w:sz w:val="32"/>
          <w:szCs w:val="32"/>
          <w:lang w:val="en-US" w:eastAsia="zh-CN"/>
        </w:rPr>
        <w:t>12.08</w:t>
      </w:r>
      <w:r>
        <w:rPr>
          <w:rFonts w:hint="eastAsia" w:ascii="仿宋" w:hAnsi="仿宋" w:eastAsia="仿宋" w:cs="宋体"/>
          <w:sz w:val="32"/>
          <w:szCs w:val="32"/>
        </w:rPr>
        <w:t>%）。</w:t>
      </w:r>
    </w:p>
    <w:p w14:paraId="010DDD9F">
      <w:pPr>
        <w:ind w:firstLine="560"/>
        <w:jc w:val="left"/>
        <w:rPr>
          <w:rFonts w:ascii="微软雅黑" w:hAnsi="微软雅黑" w:eastAsia="微软雅黑" w:cs="微软雅黑"/>
          <w:sz w:val="28"/>
          <w:szCs w:val="21"/>
        </w:rPr>
      </w:pPr>
      <w:r>
        <w:drawing>
          <wp:inline distT="0" distB="0" distL="114300" distR="114300">
            <wp:extent cx="4572000" cy="2581275"/>
            <wp:effectExtent l="0" t="0" r="0" b="9525"/>
            <wp:docPr id="1765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EB184EF">
      <w:pPr>
        <w:ind w:firstLine="560"/>
        <w:jc w:val="center"/>
        <w:rPr>
          <w:rFonts w:ascii="黑体" w:hAnsi="黑体" w:eastAsia="黑体" w:cs="微软雅黑"/>
          <w:szCs w:val="21"/>
        </w:rPr>
      </w:pPr>
      <w:r>
        <w:rPr>
          <w:rFonts w:hint="eastAsia" w:ascii="黑体" w:hAnsi="黑体" w:eastAsia="黑体" w:cs="微软雅黑"/>
          <w:szCs w:val="21"/>
        </w:rPr>
        <w:t>图1</w:t>
      </w:r>
      <w:r>
        <w:rPr>
          <w:rFonts w:ascii="黑体" w:hAnsi="黑体" w:eastAsia="黑体" w:cs="微软雅黑"/>
          <w:szCs w:val="21"/>
        </w:rPr>
        <w:t>-1 202</w:t>
      </w:r>
      <w:r>
        <w:rPr>
          <w:rFonts w:hint="eastAsia" w:ascii="黑体" w:hAnsi="黑体" w:eastAsia="黑体" w:cs="微软雅黑"/>
          <w:szCs w:val="21"/>
          <w:lang w:val="en-US" w:eastAsia="zh-CN"/>
        </w:rPr>
        <w:t>5</w:t>
      </w:r>
      <w:r>
        <w:rPr>
          <w:rFonts w:hint="eastAsia" w:ascii="黑体" w:hAnsi="黑体" w:eastAsia="黑体" w:cs="微软雅黑"/>
          <w:szCs w:val="21"/>
        </w:rPr>
        <w:t>届毕业生总体规模</w:t>
      </w:r>
    </w:p>
    <w:p w14:paraId="1787C743">
      <w:pPr>
        <w:ind w:firstLine="560"/>
        <w:jc w:val="center"/>
        <w:rPr>
          <w:rFonts w:ascii="黑体" w:hAnsi="黑体" w:eastAsia="黑体" w:cs="微软雅黑"/>
          <w:szCs w:val="21"/>
        </w:rPr>
      </w:pPr>
    </w:p>
    <w:p w14:paraId="2E7399F6">
      <w:pPr>
        <w:ind w:firstLine="560"/>
        <w:jc w:val="center"/>
        <w:rPr>
          <w:rFonts w:ascii="黑体" w:hAnsi="黑体" w:eastAsia="黑体" w:cs="微软雅黑"/>
          <w:szCs w:val="21"/>
        </w:rPr>
      </w:pPr>
    </w:p>
    <w:p w14:paraId="61339B4B">
      <w:pPr>
        <w:spacing w:line="360" w:lineRule="auto"/>
        <w:ind w:firstLine="321" w:firstLineChars="100"/>
        <w:outlineLvl w:val="0"/>
        <w:rPr>
          <w:rFonts w:ascii="楷体" w:hAnsi="楷体" w:eastAsia="楷体" w:cs="仿宋"/>
          <w:b/>
          <w:bCs/>
          <w:sz w:val="32"/>
          <w:szCs w:val="32"/>
        </w:rPr>
      </w:pPr>
      <w:bookmarkStart w:id="9" w:name="_Toc18785"/>
      <w:r>
        <w:rPr>
          <w:rFonts w:hint="eastAsia" w:ascii="楷体" w:hAnsi="楷体" w:eastAsia="楷体" w:cs="仿宋"/>
          <w:b/>
          <w:bCs/>
          <w:sz w:val="32"/>
          <w:szCs w:val="32"/>
        </w:rPr>
        <w:t>（二）生源结构</w:t>
      </w:r>
      <w:bookmarkEnd w:id="9"/>
    </w:p>
    <w:p w14:paraId="2BD8BEC4">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学校2</w:t>
      </w:r>
      <w:r>
        <w:rPr>
          <w:rFonts w:ascii="仿宋" w:hAnsi="仿宋" w:eastAsia="仿宋" w:cs="宋体"/>
          <w:sz w:val="32"/>
          <w:szCs w:val="32"/>
        </w:rPr>
        <w:t>02</w:t>
      </w:r>
      <w:r>
        <w:rPr>
          <w:rFonts w:hint="eastAsia" w:ascii="仿宋" w:hAnsi="仿宋" w:eastAsia="仿宋" w:cs="宋体"/>
          <w:sz w:val="32"/>
          <w:szCs w:val="32"/>
          <w:lang w:val="en-US" w:eastAsia="zh-CN"/>
        </w:rPr>
        <w:t>5</w:t>
      </w:r>
      <w:r>
        <w:rPr>
          <w:rFonts w:hint="eastAsia" w:ascii="仿宋" w:hAnsi="仿宋" w:eastAsia="仿宋" w:cs="宋体"/>
          <w:sz w:val="32"/>
          <w:szCs w:val="32"/>
        </w:rPr>
        <w:t>届生源所在地包含了全国2</w:t>
      </w:r>
      <w:r>
        <w:rPr>
          <w:rFonts w:ascii="仿宋" w:hAnsi="仿宋" w:eastAsia="仿宋" w:cs="宋体"/>
          <w:sz w:val="32"/>
          <w:szCs w:val="32"/>
        </w:rPr>
        <w:t>2</w:t>
      </w:r>
      <w:r>
        <w:rPr>
          <w:rFonts w:hint="eastAsia" w:ascii="仿宋" w:hAnsi="仿宋" w:eastAsia="仿宋" w:cs="宋体"/>
          <w:sz w:val="32"/>
          <w:szCs w:val="32"/>
        </w:rPr>
        <w:t>个省（市/自治区）。以辽宁省内生源为主，占</w:t>
      </w:r>
      <w:r>
        <w:rPr>
          <w:rFonts w:hint="eastAsia" w:ascii="仿宋" w:hAnsi="仿宋" w:eastAsia="仿宋" w:cs="宋体"/>
          <w:sz w:val="32"/>
          <w:szCs w:val="32"/>
          <w:lang w:val="en-US" w:eastAsia="zh-CN"/>
        </w:rPr>
        <w:t>69.43</w:t>
      </w:r>
      <w:r>
        <w:rPr>
          <w:rFonts w:ascii="仿宋" w:hAnsi="仿宋" w:eastAsia="仿宋" w:cs="宋体"/>
          <w:sz w:val="32"/>
          <w:szCs w:val="32"/>
        </w:rPr>
        <w:t>%</w:t>
      </w:r>
      <w:r>
        <w:rPr>
          <w:rFonts w:hint="eastAsia" w:ascii="仿宋" w:hAnsi="仿宋" w:eastAsia="仿宋" w:cs="宋体"/>
          <w:sz w:val="32"/>
          <w:szCs w:val="32"/>
        </w:rPr>
        <w:t>，主要来源于</w:t>
      </w:r>
      <w:r>
        <w:rPr>
          <w:rFonts w:hint="eastAsia" w:ascii="仿宋" w:hAnsi="仿宋" w:eastAsia="仿宋" w:cs="宋体"/>
          <w:sz w:val="32"/>
          <w:szCs w:val="32"/>
          <w:lang w:val="en-US" w:eastAsia="zh-CN"/>
        </w:rPr>
        <w:t>阜新市</w:t>
      </w:r>
      <w:r>
        <w:rPr>
          <w:rFonts w:hint="eastAsia" w:ascii="仿宋" w:hAnsi="仿宋" w:eastAsia="仿宋" w:cs="宋体"/>
          <w:color w:val="auto"/>
          <w:sz w:val="32"/>
          <w:szCs w:val="32"/>
          <w:lang w:val="en-US" w:eastAsia="zh-CN"/>
        </w:rPr>
        <w:t>（23.89%）、朝</w:t>
      </w:r>
      <w:r>
        <w:rPr>
          <w:rFonts w:hint="eastAsia" w:ascii="仿宋" w:hAnsi="仿宋" w:eastAsia="仿宋" w:cs="宋体"/>
          <w:sz w:val="32"/>
          <w:szCs w:val="32"/>
          <w:lang w:val="en-US" w:eastAsia="zh-CN"/>
        </w:rPr>
        <w:t>阳市（8.96%）和沈阳市（6.20%）等市</w:t>
      </w:r>
      <w:r>
        <w:rPr>
          <w:rFonts w:hint="eastAsia" w:ascii="仿宋" w:hAnsi="仿宋" w:eastAsia="仿宋" w:cs="宋体"/>
          <w:sz w:val="32"/>
          <w:szCs w:val="32"/>
        </w:rPr>
        <w:t>；省外生源主要来自于河南（</w:t>
      </w:r>
      <w:r>
        <w:rPr>
          <w:rFonts w:hint="eastAsia" w:ascii="仿宋" w:hAnsi="仿宋" w:eastAsia="仿宋" w:cs="宋体"/>
          <w:sz w:val="32"/>
          <w:szCs w:val="32"/>
          <w:lang w:val="en-US" w:eastAsia="zh-CN"/>
        </w:rPr>
        <w:t>10.80</w:t>
      </w:r>
      <w:r>
        <w:rPr>
          <w:rFonts w:ascii="仿宋" w:hAnsi="仿宋" w:eastAsia="仿宋" w:cs="宋体"/>
          <w:sz w:val="32"/>
          <w:szCs w:val="32"/>
        </w:rPr>
        <w:t>%</w:t>
      </w:r>
      <w:r>
        <w:rPr>
          <w:rFonts w:hint="eastAsia" w:ascii="仿宋" w:hAnsi="仿宋" w:eastAsia="仿宋" w:cs="宋体"/>
          <w:sz w:val="32"/>
          <w:szCs w:val="32"/>
        </w:rPr>
        <w:t>）、新疆（</w:t>
      </w:r>
      <w:r>
        <w:rPr>
          <w:rFonts w:hint="eastAsia" w:ascii="仿宋" w:hAnsi="仿宋" w:eastAsia="仿宋" w:cs="宋体"/>
          <w:sz w:val="32"/>
          <w:szCs w:val="32"/>
          <w:lang w:val="en-US" w:eastAsia="zh-CN"/>
        </w:rPr>
        <w:t>4.80</w:t>
      </w:r>
      <w:r>
        <w:rPr>
          <w:rFonts w:ascii="仿宋" w:hAnsi="仿宋" w:eastAsia="仿宋" w:cs="宋体"/>
          <w:sz w:val="32"/>
          <w:szCs w:val="32"/>
        </w:rPr>
        <w:t>%</w:t>
      </w:r>
      <w:r>
        <w:rPr>
          <w:rFonts w:hint="eastAsia" w:ascii="仿宋" w:hAnsi="仿宋" w:eastAsia="仿宋" w:cs="宋体"/>
          <w:sz w:val="32"/>
          <w:szCs w:val="32"/>
        </w:rPr>
        <w:t>）、</w:t>
      </w:r>
      <w:r>
        <w:rPr>
          <w:rFonts w:hint="eastAsia" w:ascii="仿宋" w:hAnsi="仿宋" w:eastAsia="仿宋" w:cs="宋体"/>
          <w:sz w:val="32"/>
          <w:szCs w:val="32"/>
          <w:lang w:val="en-US" w:eastAsia="zh-CN"/>
        </w:rPr>
        <w:t>青海（2.32%）和</w:t>
      </w:r>
      <w:r>
        <w:rPr>
          <w:rFonts w:hint="eastAsia" w:ascii="仿宋" w:hAnsi="仿宋" w:eastAsia="仿宋" w:cs="宋体"/>
          <w:sz w:val="32"/>
          <w:szCs w:val="32"/>
        </w:rPr>
        <w:t>广西（2</w:t>
      </w:r>
      <w:r>
        <w:rPr>
          <w:rFonts w:ascii="仿宋" w:hAnsi="仿宋" w:eastAsia="仿宋" w:cs="宋体"/>
          <w:sz w:val="32"/>
          <w:szCs w:val="32"/>
        </w:rPr>
        <w:t>.</w:t>
      </w:r>
      <w:r>
        <w:rPr>
          <w:rFonts w:hint="eastAsia" w:ascii="仿宋" w:hAnsi="仿宋" w:eastAsia="仿宋" w:cs="宋体"/>
          <w:sz w:val="32"/>
          <w:szCs w:val="32"/>
          <w:lang w:val="en-US" w:eastAsia="zh-CN"/>
        </w:rPr>
        <w:t>28</w:t>
      </w:r>
      <w:r>
        <w:rPr>
          <w:rFonts w:ascii="仿宋" w:hAnsi="仿宋" w:eastAsia="仿宋" w:cs="宋体"/>
          <w:sz w:val="32"/>
          <w:szCs w:val="32"/>
        </w:rPr>
        <w:t>%</w:t>
      </w:r>
      <w:r>
        <w:rPr>
          <w:rFonts w:hint="eastAsia" w:ascii="仿宋" w:hAnsi="仿宋" w:eastAsia="仿宋" w:cs="宋体"/>
          <w:sz w:val="32"/>
          <w:szCs w:val="32"/>
        </w:rPr>
        <w:t>）等省份。</w:t>
      </w:r>
    </w:p>
    <w:p w14:paraId="6E37ACBC">
      <w:pPr>
        <w:jc w:val="left"/>
        <w:rPr>
          <w:rFonts w:ascii="微软雅黑" w:hAnsi="微软雅黑" w:eastAsia="微软雅黑" w:cs="微软雅黑"/>
          <w:sz w:val="28"/>
          <w:szCs w:val="21"/>
        </w:rPr>
      </w:pPr>
      <w:r>
        <w:drawing>
          <wp:inline distT="0" distB="0" distL="114300" distR="114300">
            <wp:extent cx="5235575" cy="2914650"/>
            <wp:effectExtent l="0" t="0" r="3175" b="0"/>
            <wp:docPr id="17654"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56BC37D">
      <w:pPr>
        <w:ind w:firstLine="560"/>
        <w:jc w:val="center"/>
        <w:rPr>
          <w:rFonts w:hint="eastAsia" w:ascii="黑体" w:hAnsi="黑体" w:eastAsia="黑体" w:cs="微软雅黑"/>
          <w:szCs w:val="21"/>
        </w:rPr>
      </w:pPr>
      <w:r>
        <w:rPr>
          <w:rFonts w:hint="eastAsia" w:ascii="黑体" w:hAnsi="黑体" w:eastAsia="黑体" w:cs="微软雅黑"/>
          <w:szCs w:val="21"/>
        </w:rPr>
        <w:t>图1</w:t>
      </w:r>
      <w:r>
        <w:rPr>
          <w:rFonts w:ascii="黑体" w:hAnsi="黑体" w:eastAsia="黑体" w:cs="微软雅黑"/>
          <w:szCs w:val="21"/>
        </w:rPr>
        <w:t>-2 202</w:t>
      </w:r>
      <w:r>
        <w:rPr>
          <w:rFonts w:hint="eastAsia" w:ascii="黑体" w:hAnsi="黑体" w:eastAsia="黑体" w:cs="微软雅黑"/>
          <w:szCs w:val="21"/>
          <w:lang w:val="en-US" w:eastAsia="zh-CN"/>
        </w:rPr>
        <w:t>5</w:t>
      </w:r>
      <w:r>
        <w:rPr>
          <w:rFonts w:hint="eastAsia" w:ascii="黑体" w:hAnsi="黑体" w:eastAsia="黑体" w:cs="微软雅黑"/>
          <w:szCs w:val="21"/>
        </w:rPr>
        <w:t>届毕业生全国生源结构</w:t>
      </w:r>
    </w:p>
    <w:p w14:paraId="493D4D7D">
      <w:pPr>
        <w:ind w:firstLine="560"/>
        <w:jc w:val="center"/>
        <w:rPr>
          <w:rFonts w:hint="eastAsia" w:ascii="黑体" w:hAnsi="黑体" w:eastAsia="黑体" w:cs="微软雅黑"/>
          <w:szCs w:val="21"/>
        </w:rPr>
      </w:pPr>
    </w:p>
    <w:p w14:paraId="61AC3807">
      <w:pPr>
        <w:ind w:firstLine="560"/>
        <w:jc w:val="center"/>
      </w:pPr>
      <w:r>
        <w:drawing>
          <wp:inline distT="0" distB="0" distL="114300" distR="114300">
            <wp:extent cx="4826635" cy="2743200"/>
            <wp:effectExtent l="0" t="0" r="12065" b="0"/>
            <wp:docPr id="17653"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00DC29B">
      <w:pPr>
        <w:ind w:firstLine="560"/>
        <w:jc w:val="center"/>
      </w:pPr>
    </w:p>
    <w:p w14:paraId="25428408">
      <w:pPr>
        <w:ind w:firstLine="560"/>
        <w:jc w:val="center"/>
        <w:rPr>
          <w:rFonts w:ascii="黑体" w:hAnsi="黑体" w:eastAsia="黑体" w:cs="微软雅黑"/>
          <w:szCs w:val="21"/>
        </w:rPr>
      </w:pPr>
      <w:r>
        <w:rPr>
          <w:rFonts w:hint="eastAsia" w:ascii="黑体" w:hAnsi="黑体" w:eastAsia="黑体" w:cs="微软雅黑"/>
          <w:szCs w:val="21"/>
        </w:rPr>
        <w:t>图1</w:t>
      </w:r>
      <w:r>
        <w:rPr>
          <w:rFonts w:ascii="黑体" w:hAnsi="黑体" w:eastAsia="黑体" w:cs="微软雅黑"/>
          <w:szCs w:val="21"/>
        </w:rPr>
        <w:t>-3 202</w:t>
      </w:r>
      <w:r>
        <w:rPr>
          <w:rFonts w:hint="eastAsia" w:ascii="黑体" w:hAnsi="黑体" w:eastAsia="黑体" w:cs="微软雅黑"/>
          <w:szCs w:val="21"/>
          <w:lang w:val="en-US" w:eastAsia="zh-CN"/>
        </w:rPr>
        <w:t>5</w:t>
      </w:r>
      <w:r>
        <w:rPr>
          <w:rFonts w:hint="eastAsia" w:ascii="黑体" w:hAnsi="黑体" w:eastAsia="黑体" w:cs="微软雅黑"/>
          <w:szCs w:val="21"/>
        </w:rPr>
        <w:t>届毕业生辽宁省生源结构</w:t>
      </w:r>
    </w:p>
    <w:p w14:paraId="668EF719">
      <w:pPr>
        <w:spacing w:line="360" w:lineRule="auto"/>
        <w:ind w:firstLine="321" w:firstLineChars="100"/>
        <w:outlineLvl w:val="0"/>
        <w:rPr>
          <w:rFonts w:ascii="楷体" w:hAnsi="楷体" w:eastAsia="楷体" w:cs="仿宋"/>
          <w:b/>
          <w:bCs/>
          <w:sz w:val="32"/>
          <w:szCs w:val="32"/>
        </w:rPr>
      </w:pPr>
      <w:bookmarkStart w:id="10" w:name="_Toc7052"/>
      <w:r>
        <w:rPr>
          <w:rFonts w:hint="eastAsia" w:ascii="楷体" w:hAnsi="楷体" w:eastAsia="楷体" w:cs="仿宋"/>
          <w:b/>
          <w:bCs/>
          <w:sz w:val="32"/>
          <w:szCs w:val="32"/>
        </w:rPr>
        <w:t>（三）专业结构</w:t>
      </w:r>
      <w:bookmarkEnd w:id="10"/>
    </w:p>
    <w:p w14:paraId="1A8EED8E">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全校毕业生分布在</w:t>
      </w:r>
      <w:r>
        <w:rPr>
          <w:rFonts w:hint="eastAsia" w:ascii="仿宋" w:hAnsi="仿宋" w:eastAsia="仿宋" w:cs="宋体"/>
          <w:sz w:val="32"/>
          <w:szCs w:val="32"/>
          <w:lang w:val="en-US" w:eastAsia="zh-CN"/>
        </w:rPr>
        <w:t>29</w:t>
      </w:r>
      <w:r>
        <w:rPr>
          <w:rFonts w:hint="eastAsia" w:ascii="仿宋" w:hAnsi="仿宋" w:eastAsia="仿宋" w:cs="宋体"/>
          <w:sz w:val="32"/>
          <w:szCs w:val="32"/>
        </w:rPr>
        <w:t>个专业，其中</w:t>
      </w:r>
      <w:r>
        <w:rPr>
          <w:rFonts w:hint="eastAsia" w:ascii="仿宋" w:hAnsi="仿宋" w:eastAsia="仿宋" w:cs="宋体"/>
          <w:sz w:val="32"/>
          <w:szCs w:val="32"/>
          <w:lang w:val="en-US" w:eastAsia="zh-CN"/>
        </w:rPr>
        <w:t>小学教育、学前教育和动物医学毕业生人数</w:t>
      </w:r>
      <w:r>
        <w:rPr>
          <w:rFonts w:hint="eastAsia" w:ascii="仿宋" w:hAnsi="仿宋" w:eastAsia="仿宋" w:cs="宋体"/>
          <w:sz w:val="32"/>
          <w:szCs w:val="32"/>
        </w:rPr>
        <w:t>较多，人数占比均在10%以上。</w:t>
      </w:r>
    </w:p>
    <w:p w14:paraId="32388191">
      <w:pPr>
        <w:spacing w:line="360" w:lineRule="auto"/>
        <w:jc w:val="center"/>
        <w:rPr>
          <w:rFonts w:ascii="宋体" w:hAnsi="宋体" w:eastAsia="宋体" w:cs="宋体"/>
          <w:sz w:val="24"/>
        </w:rPr>
      </w:pPr>
      <w:r>
        <w:drawing>
          <wp:inline distT="0" distB="0" distL="114300" distR="114300">
            <wp:extent cx="5277485" cy="3453130"/>
            <wp:effectExtent l="0" t="0" r="18415" b="13970"/>
            <wp:docPr id="2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5D3F1F0">
      <w:pPr>
        <w:jc w:val="center"/>
        <w:outlineLvl w:val="0"/>
        <w:rPr>
          <w:rFonts w:ascii="黑体" w:hAnsi="黑体" w:eastAsia="黑体" w:cs="微软雅黑"/>
          <w:szCs w:val="21"/>
        </w:rPr>
      </w:pPr>
      <w:bookmarkStart w:id="11" w:name="_Toc14800"/>
      <w:bookmarkStart w:id="12" w:name="_Toc21652"/>
      <w:bookmarkStart w:id="13" w:name="_Toc12762"/>
      <w:r>
        <w:rPr>
          <w:rFonts w:hint="eastAsia" w:ascii="黑体" w:hAnsi="黑体" w:eastAsia="黑体" w:cs="微软雅黑"/>
          <w:szCs w:val="21"/>
        </w:rPr>
        <w:t>图1</w:t>
      </w:r>
      <w:r>
        <w:rPr>
          <w:rFonts w:ascii="黑体" w:hAnsi="黑体" w:eastAsia="黑体" w:cs="微软雅黑"/>
          <w:szCs w:val="21"/>
        </w:rPr>
        <w:t>-4 202</w:t>
      </w:r>
      <w:r>
        <w:rPr>
          <w:rFonts w:hint="eastAsia" w:ascii="黑体" w:hAnsi="黑体" w:eastAsia="黑体" w:cs="微软雅黑"/>
          <w:szCs w:val="21"/>
          <w:lang w:val="en-US" w:eastAsia="zh-CN"/>
        </w:rPr>
        <w:t>5</w:t>
      </w:r>
      <w:r>
        <w:rPr>
          <w:rFonts w:hint="eastAsia" w:ascii="黑体" w:hAnsi="黑体" w:eastAsia="黑体" w:cs="微软雅黑"/>
          <w:szCs w:val="21"/>
        </w:rPr>
        <w:t>届毕业生专业结构</w:t>
      </w:r>
      <w:bookmarkEnd w:id="11"/>
      <w:bookmarkEnd w:id="12"/>
      <w:bookmarkEnd w:id="13"/>
    </w:p>
    <w:p w14:paraId="0F4F8980">
      <w:pPr>
        <w:ind w:firstLine="640" w:firstLineChars="200"/>
        <w:jc w:val="left"/>
        <w:outlineLvl w:val="0"/>
        <w:rPr>
          <w:rFonts w:hint="eastAsia" w:ascii="黑体" w:hAnsi="黑体" w:eastAsia="黑体" w:cs="宋体"/>
          <w:bCs/>
          <w:sz w:val="32"/>
          <w:szCs w:val="32"/>
        </w:rPr>
      </w:pPr>
    </w:p>
    <w:p w14:paraId="3993E9D4">
      <w:pPr>
        <w:ind w:firstLine="640" w:firstLineChars="200"/>
        <w:jc w:val="left"/>
        <w:outlineLvl w:val="0"/>
        <w:rPr>
          <w:rFonts w:ascii="黑体" w:hAnsi="黑体" w:eastAsia="黑体" w:cs="宋体"/>
          <w:bCs/>
          <w:sz w:val="32"/>
          <w:szCs w:val="32"/>
        </w:rPr>
      </w:pPr>
      <w:bookmarkStart w:id="14" w:name="_Toc176"/>
      <w:r>
        <w:rPr>
          <w:rFonts w:hint="eastAsia" w:ascii="黑体" w:hAnsi="黑体" w:eastAsia="黑体" w:cs="宋体"/>
          <w:bCs/>
          <w:sz w:val="32"/>
          <w:szCs w:val="32"/>
        </w:rPr>
        <w:t>二、初次毕业去向落实率及毕业去向</w:t>
      </w:r>
      <w:bookmarkEnd w:id="14"/>
    </w:p>
    <w:p w14:paraId="0D72ACD0">
      <w:pPr>
        <w:spacing w:line="360" w:lineRule="auto"/>
        <w:ind w:firstLine="321" w:firstLineChars="100"/>
        <w:outlineLvl w:val="0"/>
        <w:rPr>
          <w:rFonts w:ascii="楷体" w:hAnsi="楷体" w:eastAsia="楷体" w:cs="仿宋"/>
          <w:b/>
          <w:bCs/>
          <w:sz w:val="32"/>
          <w:szCs w:val="32"/>
        </w:rPr>
      </w:pPr>
      <w:bookmarkStart w:id="15" w:name="_Toc30305"/>
      <w:r>
        <w:rPr>
          <w:rFonts w:hint="eastAsia" w:ascii="楷体" w:hAnsi="楷体" w:eastAsia="楷体" w:cs="仿宋"/>
          <w:b/>
          <w:bCs/>
          <w:sz w:val="32"/>
          <w:szCs w:val="32"/>
        </w:rPr>
        <w:t>（一）总体毕业去向落实率</w:t>
      </w:r>
      <w:bookmarkEnd w:id="15"/>
    </w:p>
    <w:p w14:paraId="7B337ABE">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截止2</w:t>
      </w:r>
      <w:r>
        <w:rPr>
          <w:rFonts w:ascii="仿宋" w:hAnsi="仿宋" w:eastAsia="仿宋" w:cs="宋体"/>
          <w:sz w:val="32"/>
          <w:szCs w:val="32"/>
        </w:rPr>
        <w:t>02</w:t>
      </w:r>
      <w:r>
        <w:rPr>
          <w:rFonts w:hint="eastAsia" w:ascii="仿宋" w:hAnsi="仿宋" w:eastAsia="仿宋" w:cs="宋体"/>
          <w:sz w:val="32"/>
          <w:szCs w:val="32"/>
          <w:lang w:val="en-US" w:eastAsia="zh-CN"/>
        </w:rPr>
        <w:t>5</w:t>
      </w:r>
      <w:r>
        <w:rPr>
          <w:rFonts w:hint="eastAsia" w:ascii="仿宋" w:hAnsi="仿宋" w:eastAsia="仿宋" w:cs="宋体"/>
          <w:sz w:val="32"/>
          <w:szCs w:val="32"/>
        </w:rPr>
        <w:t>年8月3</w:t>
      </w:r>
      <w:r>
        <w:rPr>
          <w:rFonts w:ascii="仿宋" w:hAnsi="仿宋" w:eastAsia="仿宋" w:cs="宋体"/>
          <w:sz w:val="32"/>
          <w:szCs w:val="32"/>
        </w:rPr>
        <w:t>1</w:t>
      </w:r>
      <w:r>
        <w:rPr>
          <w:rFonts w:hint="eastAsia" w:ascii="仿宋" w:hAnsi="仿宋" w:eastAsia="仿宋" w:cs="宋体"/>
          <w:sz w:val="32"/>
          <w:szCs w:val="32"/>
        </w:rPr>
        <w:t>日，学校2</w:t>
      </w:r>
      <w:r>
        <w:rPr>
          <w:rFonts w:ascii="仿宋" w:hAnsi="仿宋" w:eastAsia="仿宋" w:cs="宋体"/>
          <w:sz w:val="32"/>
          <w:szCs w:val="32"/>
        </w:rPr>
        <w:t>02</w:t>
      </w:r>
      <w:r>
        <w:rPr>
          <w:rFonts w:hint="eastAsia" w:ascii="仿宋" w:hAnsi="仿宋" w:eastAsia="仿宋" w:cs="宋体"/>
          <w:sz w:val="32"/>
          <w:szCs w:val="32"/>
          <w:lang w:val="en-US" w:eastAsia="zh-CN"/>
        </w:rPr>
        <w:t>5</w:t>
      </w:r>
      <w:r>
        <w:rPr>
          <w:rFonts w:hint="eastAsia" w:ascii="仿宋" w:hAnsi="仿宋" w:eastAsia="仿宋" w:cs="宋体"/>
          <w:sz w:val="32"/>
          <w:szCs w:val="32"/>
        </w:rPr>
        <w:t>届毕业生初次毕业去向落实率为</w:t>
      </w:r>
      <w:r>
        <w:rPr>
          <w:rFonts w:ascii="仿宋" w:hAnsi="仿宋" w:eastAsia="仿宋" w:cs="宋体"/>
          <w:sz w:val="32"/>
          <w:szCs w:val="32"/>
        </w:rPr>
        <w:t>83.</w:t>
      </w:r>
      <w:r>
        <w:rPr>
          <w:rFonts w:hint="eastAsia" w:ascii="仿宋" w:hAnsi="仿宋" w:eastAsia="仿宋" w:cs="宋体"/>
          <w:sz w:val="32"/>
          <w:szCs w:val="32"/>
          <w:lang w:val="en-US" w:eastAsia="zh-CN"/>
        </w:rPr>
        <w:t>75</w:t>
      </w:r>
      <w:r>
        <w:rPr>
          <w:rFonts w:hint="eastAsia" w:ascii="仿宋" w:hAnsi="仿宋" w:eastAsia="仿宋" w:cs="宋体"/>
          <w:sz w:val="32"/>
          <w:szCs w:val="32"/>
        </w:rPr>
        <w:t>%。毕业去向主要以签就业协议形式就业为主，占比</w:t>
      </w:r>
      <w:r>
        <w:rPr>
          <w:rFonts w:hint="eastAsia" w:ascii="仿宋" w:hAnsi="仿宋" w:eastAsia="仿宋" w:cs="宋体"/>
          <w:sz w:val="32"/>
          <w:szCs w:val="32"/>
          <w:lang w:val="en-US" w:eastAsia="zh-CN"/>
        </w:rPr>
        <w:t>67.47</w:t>
      </w:r>
      <w:r>
        <w:rPr>
          <w:rFonts w:ascii="仿宋" w:hAnsi="仿宋" w:eastAsia="仿宋" w:cs="宋体"/>
          <w:sz w:val="32"/>
          <w:szCs w:val="32"/>
        </w:rPr>
        <w:t>%</w:t>
      </w:r>
      <w:r>
        <w:rPr>
          <w:rFonts w:hint="eastAsia" w:ascii="仿宋" w:hAnsi="仿宋" w:eastAsia="仿宋" w:cs="宋体"/>
          <w:sz w:val="32"/>
          <w:szCs w:val="32"/>
        </w:rPr>
        <w:t>。</w:t>
      </w:r>
    </w:p>
    <w:p w14:paraId="5C1F6F69">
      <w:pPr>
        <w:jc w:val="left"/>
        <w:rPr>
          <w:rFonts w:ascii="微软雅黑" w:hAnsi="微软雅黑" w:eastAsia="微软雅黑" w:cs="微软雅黑"/>
          <w:sz w:val="28"/>
          <w:szCs w:val="21"/>
        </w:rPr>
      </w:pPr>
      <w:r>
        <w:drawing>
          <wp:inline distT="0" distB="0" distL="114300" distR="114300">
            <wp:extent cx="5273040" cy="5316220"/>
            <wp:effectExtent l="0" t="0" r="3810" b="17780"/>
            <wp:docPr id="105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86F58E2">
      <w:pPr>
        <w:ind w:firstLine="560"/>
        <w:jc w:val="center"/>
        <w:rPr>
          <w:rFonts w:ascii="黑体" w:hAnsi="黑体" w:eastAsia="黑体" w:cs="微软雅黑"/>
          <w:szCs w:val="21"/>
        </w:rPr>
      </w:pPr>
    </w:p>
    <w:p w14:paraId="662736C6">
      <w:pPr>
        <w:ind w:firstLine="560"/>
        <w:jc w:val="center"/>
        <w:rPr>
          <w:rFonts w:ascii="黑体" w:hAnsi="黑体" w:eastAsia="黑体" w:cs="微软雅黑"/>
          <w:szCs w:val="21"/>
        </w:rPr>
      </w:pPr>
      <w:r>
        <w:rPr>
          <w:rFonts w:hint="eastAsia" w:ascii="黑体" w:hAnsi="黑体" w:eastAsia="黑体" w:cs="微软雅黑"/>
          <w:szCs w:val="21"/>
        </w:rPr>
        <w:t>图1</w:t>
      </w:r>
      <w:r>
        <w:rPr>
          <w:rFonts w:ascii="黑体" w:hAnsi="黑体" w:eastAsia="黑体" w:cs="微软雅黑"/>
          <w:szCs w:val="21"/>
        </w:rPr>
        <w:t>-</w:t>
      </w:r>
      <w:r>
        <w:rPr>
          <w:rFonts w:hint="eastAsia" w:ascii="黑体" w:hAnsi="黑体" w:eastAsia="黑体" w:cs="微软雅黑"/>
          <w:szCs w:val="21"/>
          <w:lang w:val="en-US" w:eastAsia="zh-CN"/>
        </w:rPr>
        <w:t>5</w:t>
      </w:r>
      <w:r>
        <w:rPr>
          <w:rFonts w:ascii="黑体" w:hAnsi="黑体" w:eastAsia="黑体" w:cs="微软雅黑"/>
          <w:szCs w:val="21"/>
        </w:rPr>
        <w:t xml:space="preserve"> 202</w:t>
      </w:r>
      <w:r>
        <w:rPr>
          <w:rFonts w:hint="eastAsia" w:ascii="黑体" w:hAnsi="黑体" w:eastAsia="黑体" w:cs="微软雅黑"/>
          <w:szCs w:val="21"/>
          <w:lang w:val="en-US" w:eastAsia="zh-CN"/>
        </w:rPr>
        <w:t>5</w:t>
      </w:r>
      <w:r>
        <w:rPr>
          <w:rFonts w:hint="eastAsia" w:ascii="黑体" w:hAnsi="黑体" w:eastAsia="黑体" w:cs="微软雅黑"/>
          <w:szCs w:val="21"/>
        </w:rPr>
        <w:t>届毕业生总体初次毕业去向</w:t>
      </w:r>
    </w:p>
    <w:p w14:paraId="6E069B64">
      <w:pPr>
        <w:ind w:firstLine="560"/>
        <w:jc w:val="center"/>
        <w:rPr>
          <w:rFonts w:ascii="黑体" w:hAnsi="黑体" w:eastAsia="黑体" w:cs="微软雅黑"/>
          <w:szCs w:val="21"/>
        </w:rPr>
      </w:pPr>
    </w:p>
    <w:p w14:paraId="7ECCB580">
      <w:pPr>
        <w:spacing w:line="360" w:lineRule="auto"/>
        <w:ind w:firstLine="321" w:firstLineChars="100"/>
        <w:outlineLvl w:val="0"/>
        <w:rPr>
          <w:rFonts w:ascii="楷体" w:hAnsi="楷体" w:eastAsia="楷体" w:cs="仿宋"/>
          <w:b/>
          <w:bCs/>
          <w:sz w:val="32"/>
          <w:szCs w:val="32"/>
        </w:rPr>
      </w:pPr>
      <w:bookmarkStart w:id="16" w:name="_Toc26724"/>
      <w:r>
        <w:rPr>
          <w:rFonts w:hint="eastAsia" w:ascii="楷体" w:hAnsi="楷体" w:eastAsia="楷体" w:cs="仿宋"/>
          <w:b/>
          <w:bCs/>
          <w:sz w:val="32"/>
          <w:szCs w:val="32"/>
        </w:rPr>
        <w:t>（二）各系的毕业去向落实率</w:t>
      </w:r>
      <w:bookmarkEnd w:id="16"/>
    </w:p>
    <w:p w14:paraId="02DFD367">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2</w:t>
      </w:r>
      <w:r>
        <w:rPr>
          <w:rFonts w:ascii="仿宋" w:hAnsi="仿宋" w:eastAsia="仿宋" w:cs="宋体"/>
          <w:sz w:val="32"/>
          <w:szCs w:val="32"/>
        </w:rPr>
        <w:t>02</w:t>
      </w:r>
      <w:r>
        <w:rPr>
          <w:rFonts w:hint="eastAsia" w:ascii="仿宋" w:hAnsi="仿宋" w:eastAsia="仿宋" w:cs="宋体"/>
          <w:sz w:val="32"/>
          <w:szCs w:val="32"/>
          <w:lang w:val="en-US" w:eastAsia="zh-CN"/>
        </w:rPr>
        <w:t>5</w:t>
      </w:r>
      <w:r>
        <w:rPr>
          <w:rFonts w:hint="eastAsia" w:ascii="仿宋" w:hAnsi="仿宋" w:eastAsia="仿宋" w:cs="宋体"/>
          <w:sz w:val="32"/>
          <w:szCs w:val="32"/>
        </w:rPr>
        <w:t>届毕业生分布的9个系中，7个系超过了校平均毕业去向落实率。</w:t>
      </w:r>
      <w:r>
        <w:rPr>
          <w:rFonts w:hint="eastAsia" w:ascii="仿宋" w:hAnsi="仿宋" w:eastAsia="仿宋" w:cs="宋体"/>
          <w:sz w:val="32"/>
          <w:szCs w:val="32"/>
          <w:lang w:val="en-US" w:eastAsia="zh-CN"/>
        </w:rPr>
        <w:t>公路建筑工程系</w:t>
      </w:r>
      <w:r>
        <w:rPr>
          <w:rFonts w:hint="eastAsia" w:ascii="仿宋" w:hAnsi="仿宋" w:eastAsia="仿宋" w:cs="宋体"/>
          <w:sz w:val="32"/>
          <w:szCs w:val="32"/>
        </w:rPr>
        <w:t>（</w:t>
      </w:r>
      <w:r>
        <w:rPr>
          <w:rFonts w:hint="eastAsia" w:ascii="仿宋" w:hAnsi="仿宋" w:eastAsia="仿宋" w:cs="宋体"/>
          <w:sz w:val="32"/>
          <w:szCs w:val="32"/>
          <w:lang w:val="en-US" w:eastAsia="zh-CN"/>
        </w:rPr>
        <w:t>89.87%</w:t>
      </w:r>
      <w:r>
        <w:rPr>
          <w:rFonts w:hint="eastAsia" w:ascii="仿宋" w:hAnsi="仿宋" w:eastAsia="仿宋" w:cs="宋体"/>
          <w:sz w:val="32"/>
          <w:szCs w:val="32"/>
        </w:rPr>
        <w:t>）、</w:t>
      </w:r>
      <w:r>
        <w:rPr>
          <w:rFonts w:hint="eastAsia" w:ascii="仿宋" w:hAnsi="仿宋" w:eastAsia="仿宋" w:cs="宋体"/>
          <w:sz w:val="32"/>
          <w:szCs w:val="32"/>
          <w:lang w:val="en-US" w:eastAsia="zh-CN"/>
        </w:rPr>
        <w:t>装备制造</w:t>
      </w:r>
      <w:r>
        <w:rPr>
          <w:rFonts w:hint="eastAsia" w:ascii="仿宋" w:hAnsi="仿宋" w:eastAsia="仿宋" w:cs="宋体"/>
          <w:sz w:val="32"/>
          <w:szCs w:val="32"/>
        </w:rPr>
        <w:t>系（8</w:t>
      </w:r>
      <w:r>
        <w:rPr>
          <w:rFonts w:ascii="仿宋" w:hAnsi="仿宋" w:eastAsia="仿宋" w:cs="宋体"/>
          <w:sz w:val="32"/>
          <w:szCs w:val="32"/>
        </w:rPr>
        <w:t>9.</w:t>
      </w:r>
      <w:r>
        <w:rPr>
          <w:rFonts w:hint="eastAsia" w:ascii="仿宋" w:hAnsi="仿宋" w:eastAsia="仿宋" w:cs="宋体"/>
          <w:sz w:val="32"/>
          <w:szCs w:val="32"/>
          <w:lang w:val="en-US" w:eastAsia="zh-CN"/>
        </w:rPr>
        <w:t>13</w:t>
      </w:r>
      <w:r>
        <w:rPr>
          <w:rFonts w:ascii="仿宋" w:hAnsi="仿宋" w:eastAsia="仿宋" w:cs="宋体"/>
          <w:sz w:val="32"/>
          <w:szCs w:val="32"/>
        </w:rPr>
        <w:t>%</w:t>
      </w:r>
      <w:r>
        <w:rPr>
          <w:rFonts w:hint="eastAsia" w:ascii="仿宋" w:hAnsi="仿宋" w:eastAsia="仿宋" w:cs="宋体"/>
          <w:sz w:val="32"/>
          <w:szCs w:val="32"/>
        </w:rPr>
        <w:t>）、</w:t>
      </w:r>
      <w:r>
        <w:rPr>
          <w:rFonts w:hint="eastAsia" w:ascii="仿宋" w:hAnsi="仿宋" w:eastAsia="仿宋" w:cs="宋体"/>
          <w:sz w:val="32"/>
          <w:szCs w:val="32"/>
          <w:lang w:val="en-US" w:eastAsia="zh-CN"/>
        </w:rPr>
        <w:t>财经商贸</w:t>
      </w:r>
      <w:r>
        <w:rPr>
          <w:rFonts w:hint="eastAsia" w:ascii="仿宋" w:hAnsi="仿宋" w:eastAsia="仿宋" w:cs="宋体"/>
          <w:sz w:val="32"/>
          <w:szCs w:val="32"/>
        </w:rPr>
        <w:t>系（8</w:t>
      </w:r>
      <w:r>
        <w:rPr>
          <w:rFonts w:ascii="仿宋" w:hAnsi="仿宋" w:eastAsia="仿宋" w:cs="宋体"/>
          <w:sz w:val="32"/>
          <w:szCs w:val="32"/>
        </w:rPr>
        <w:t>8.</w:t>
      </w:r>
      <w:r>
        <w:rPr>
          <w:rFonts w:hint="eastAsia" w:ascii="仿宋" w:hAnsi="仿宋" w:eastAsia="仿宋" w:cs="宋体"/>
          <w:sz w:val="32"/>
          <w:szCs w:val="32"/>
          <w:lang w:val="en-US" w:eastAsia="zh-CN"/>
        </w:rPr>
        <w:t>5</w:t>
      </w:r>
      <w:r>
        <w:rPr>
          <w:rFonts w:ascii="仿宋" w:hAnsi="仿宋" w:eastAsia="仿宋" w:cs="宋体"/>
          <w:sz w:val="32"/>
          <w:szCs w:val="32"/>
        </w:rPr>
        <w:t>0%</w:t>
      </w:r>
      <w:r>
        <w:rPr>
          <w:rFonts w:hint="eastAsia" w:ascii="仿宋" w:hAnsi="仿宋" w:eastAsia="仿宋" w:cs="宋体"/>
          <w:sz w:val="32"/>
          <w:szCs w:val="32"/>
        </w:rPr>
        <w:t>）居前三名。</w:t>
      </w:r>
    </w:p>
    <w:p w14:paraId="2B20EDFD">
      <w:pPr>
        <w:spacing w:line="360" w:lineRule="auto"/>
        <w:ind w:firstLine="561"/>
        <w:jc w:val="left"/>
        <w:rPr>
          <w:rFonts w:ascii="仿宋" w:hAnsi="仿宋" w:eastAsia="仿宋" w:cs="宋体"/>
          <w:sz w:val="32"/>
          <w:szCs w:val="32"/>
        </w:rPr>
      </w:pPr>
    </w:p>
    <w:p w14:paraId="4470E418">
      <w:pPr>
        <w:ind w:left="2310" w:hanging="2310" w:hangingChars="1100"/>
        <w:jc w:val="left"/>
        <w:rPr>
          <w:rFonts w:ascii="黑体" w:hAnsi="黑体" w:eastAsia="黑体" w:cs="微软雅黑"/>
          <w:szCs w:val="21"/>
        </w:rPr>
      </w:pPr>
    </w:p>
    <w:p w14:paraId="651C7771">
      <w:pPr>
        <w:ind w:left="2310" w:hanging="2310" w:hangingChars="1100"/>
        <w:jc w:val="left"/>
        <w:rPr>
          <w:rFonts w:ascii="黑体" w:hAnsi="黑体" w:eastAsia="黑体" w:cs="微软雅黑"/>
          <w:szCs w:val="21"/>
        </w:rPr>
      </w:pPr>
      <w:r>
        <w:drawing>
          <wp:inline distT="0" distB="0" distL="114300" distR="114300">
            <wp:extent cx="5274945" cy="4064000"/>
            <wp:effectExtent l="4445" t="4445" r="16510" b="8255"/>
            <wp:docPr id="30" name="图表 3" descr="7b0a202020202263686172745265734964223a2022343535363338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009E87E">
      <w:pPr>
        <w:ind w:left="2310" w:leftChars="900" w:hanging="420" w:hangingChars="200"/>
        <w:jc w:val="left"/>
        <w:rPr>
          <w:rFonts w:ascii="黑体" w:hAnsi="黑体" w:eastAsia="黑体" w:cs="微软雅黑"/>
          <w:szCs w:val="21"/>
        </w:rPr>
      </w:pPr>
      <w:r>
        <w:rPr>
          <w:rFonts w:hint="eastAsia" w:ascii="黑体" w:hAnsi="黑体" w:eastAsia="黑体" w:cs="微软雅黑"/>
          <w:szCs w:val="21"/>
        </w:rPr>
        <w:t>图1</w:t>
      </w:r>
      <w:r>
        <w:rPr>
          <w:rFonts w:ascii="黑体" w:hAnsi="黑体" w:eastAsia="黑体" w:cs="微软雅黑"/>
          <w:szCs w:val="21"/>
        </w:rPr>
        <w:t>-</w:t>
      </w:r>
      <w:r>
        <w:rPr>
          <w:rFonts w:hint="eastAsia" w:ascii="黑体" w:hAnsi="黑体" w:eastAsia="黑体" w:cs="微软雅黑"/>
          <w:szCs w:val="21"/>
          <w:lang w:val="en-US" w:eastAsia="zh-CN"/>
        </w:rPr>
        <w:t>6</w:t>
      </w:r>
      <w:r>
        <w:rPr>
          <w:rFonts w:ascii="黑体" w:hAnsi="黑体" w:eastAsia="黑体" w:cs="微软雅黑"/>
          <w:szCs w:val="21"/>
        </w:rPr>
        <w:t xml:space="preserve"> 202</w:t>
      </w:r>
      <w:r>
        <w:rPr>
          <w:rFonts w:hint="eastAsia" w:ascii="黑体" w:hAnsi="黑体" w:eastAsia="黑体" w:cs="微软雅黑"/>
          <w:szCs w:val="21"/>
          <w:lang w:val="en-US" w:eastAsia="zh-CN"/>
        </w:rPr>
        <w:t>5</w:t>
      </w:r>
      <w:r>
        <w:rPr>
          <w:rFonts w:hint="eastAsia" w:ascii="黑体" w:hAnsi="黑体" w:eastAsia="黑体" w:cs="微软雅黑"/>
          <w:szCs w:val="21"/>
        </w:rPr>
        <w:t>届毕业生各系初次毕业去向落实率</w:t>
      </w:r>
    </w:p>
    <w:p w14:paraId="1E937A20">
      <w:pPr>
        <w:spacing w:line="360" w:lineRule="auto"/>
        <w:outlineLvl w:val="0"/>
        <w:rPr>
          <w:rFonts w:ascii="仿宋" w:hAnsi="仿宋" w:eastAsia="仿宋" w:cs="仿宋"/>
          <w:b/>
          <w:bCs/>
          <w:sz w:val="28"/>
          <w:szCs w:val="21"/>
        </w:rPr>
      </w:pPr>
    </w:p>
    <w:p w14:paraId="2BEBF41D">
      <w:pPr>
        <w:spacing w:line="360" w:lineRule="auto"/>
        <w:ind w:firstLine="321" w:firstLineChars="100"/>
        <w:outlineLvl w:val="0"/>
        <w:rPr>
          <w:rFonts w:ascii="楷体" w:hAnsi="楷体" w:eastAsia="楷体" w:cs="仿宋"/>
          <w:b/>
          <w:bCs/>
          <w:sz w:val="32"/>
          <w:szCs w:val="32"/>
        </w:rPr>
      </w:pPr>
      <w:bookmarkStart w:id="17" w:name="_Toc27651"/>
      <w:r>
        <w:rPr>
          <w:rFonts w:hint="eastAsia" w:ascii="楷体" w:hAnsi="楷体" w:eastAsia="楷体" w:cs="仿宋"/>
          <w:b/>
          <w:bCs/>
          <w:sz w:val="32"/>
          <w:szCs w:val="32"/>
        </w:rPr>
        <w:t>（三）各专业的毕业去向落实率</w:t>
      </w:r>
      <w:bookmarkEnd w:id="17"/>
    </w:p>
    <w:p w14:paraId="44AB3E2B">
      <w:pPr>
        <w:spacing w:line="360" w:lineRule="auto"/>
        <w:ind w:firstLine="561"/>
        <w:jc w:val="left"/>
        <w:rPr>
          <w:rFonts w:ascii="仿宋" w:hAnsi="仿宋" w:eastAsia="仿宋" w:cs="宋体"/>
          <w:sz w:val="32"/>
          <w:szCs w:val="32"/>
        </w:rPr>
      </w:pPr>
      <w:r>
        <w:rPr>
          <w:rFonts w:ascii="仿宋" w:hAnsi="仿宋" w:eastAsia="仿宋" w:cs="宋体"/>
          <w:sz w:val="32"/>
          <w:szCs w:val="32"/>
        </w:rPr>
        <w:t>202</w:t>
      </w:r>
      <w:r>
        <w:rPr>
          <w:rFonts w:hint="eastAsia" w:ascii="仿宋" w:hAnsi="仿宋" w:eastAsia="仿宋" w:cs="宋体"/>
          <w:sz w:val="32"/>
          <w:szCs w:val="32"/>
          <w:lang w:val="en-US" w:eastAsia="zh-CN"/>
        </w:rPr>
        <w:t>5</w:t>
      </w:r>
      <w:r>
        <w:rPr>
          <w:rFonts w:hint="eastAsia" w:ascii="仿宋" w:hAnsi="仿宋" w:eastAsia="仿宋" w:cs="宋体"/>
          <w:sz w:val="32"/>
          <w:szCs w:val="32"/>
        </w:rPr>
        <w:t>届</w:t>
      </w:r>
      <w:r>
        <w:rPr>
          <w:rFonts w:hint="eastAsia" w:ascii="仿宋" w:hAnsi="仿宋" w:eastAsia="仿宋" w:cs="宋体"/>
          <w:sz w:val="32"/>
          <w:szCs w:val="32"/>
          <w:lang w:val="en-US" w:eastAsia="zh-CN"/>
        </w:rPr>
        <w:t>29</w:t>
      </w:r>
      <w:r>
        <w:rPr>
          <w:rFonts w:hint="eastAsia" w:ascii="仿宋" w:hAnsi="仿宋" w:eastAsia="仿宋" w:cs="宋体"/>
          <w:sz w:val="32"/>
          <w:szCs w:val="32"/>
        </w:rPr>
        <w:t>个专业中</w:t>
      </w:r>
      <w:r>
        <w:rPr>
          <w:rFonts w:hint="eastAsia" w:ascii="仿宋" w:hAnsi="仿宋" w:eastAsia="仿宋" w:cs="宋体"/>
          <w:sz w:val="32"/>
          <w:szCs w:val="32"/>
          <w:lang w:val="en-US" w:eastAsia="zh-CN"/>
        </w:rPr>
        <w:t>工程测量</w:t>
      </w:r>
      <w:r>
        <w:rPr>
          <w:rFonts w:hint="eastAsia" w:ascii="仿宋" w:hAnsi="仿宋" w:eastAsia="仿宋" w:cs="宋体"/>
          <w:sz w:val="32"/>
          <w:szCs w:val="32"/>
        </w:rPr>
        <w:t>技术、</w:t>
      </w:r>
      <w:r>
        <w:rPr>
          <w:rFonts w:hint="eastAsia" w:ascii="仿宋" w:hAnsi="仿宋" w:eastAsia="仿宋" w:cs="宋体"/>
          <w:sz w:val="32"/>
          <w:szCs w:val="32"/>
          <w:lang w:val="en-US" w:eastAsia="zh-CN"/>
        </w:rPr>
        <w:t>工程造价</w:t>
      </w:r>
      <w:r>
        <w:rPr>
          <w:rFonts w:hint="eastAsia" w:ascii="仿宋" w:hAnsi="仿宋" w:eastAsia="仿宋" w:cs="宋体"/>
          <w:sz w:val="32"/>
          <w:szCs w:val="32"/>
        </w:rPr>
        <w:t>、</w:t>
      </w:r>
      <w:r>
        <w:rPr>
          <w:rFonts w:hint="eastAsia" w:ascii="仿宋" w:hAnsi="仿宋" w:eastAsia="仿宋" w:cs="宋体"/>
          <w:sz w:val="32"/>
          <w:szCs w:val="32"/>
          <w:lang w:val="en-US" w:eastAsia="zh-CN"/>
        </w:rPr>
        <w:t>机电一体化技术等专业</w:t>
      </w:r>
      <w:r>
        <w:rPr>
          <w:rFonts w:hint="eastAsia" w:ascii="仿宋" w:hAnsi="仿宋" w:eastAsia="仿宋" w:cs="宋体"/>
          <w:sz w:val="32"/>
          <w:szCs w:val="32"/>
        </w:rPr>
        <w:t>毕业去向落实率</w:t>
      </w:r>
      <w:r>
        <w:rPr>
          <w:rFonts w:hint="eastAsia" w:ascii="仿宋" w:hAnsi="仿宋" w:eastAsia="仿宋" w:cs="宋体"/>
          <w:sz w:val="32"/>
          <w:szCs w:val="32"/>
          <w:lang w:val="en-US" w:eastAsia="zh-CN"/>
        </w:rPr>
        <w:t>达到95%以上</w:t>
      </w:r>
      <w:r>
        <w:rPr>
          <w:rFonts w:hint="eastAsia" w:ascii="仿宋" w:hAnsi="仿宋" w:eastAsia="仿宋" w:cs="宋体"/>
          <w:sz w:val="32"/>
          <w:szCs w:val="32"/>
          <w:lang w:eastAsia="zh-CN"/>
        </w:rPr>
        <w:t>。</w:t>
      </w:r>
      <w:r>
        <w:rPr>
          <w:rFonts w:hint="eastAsia" w:ascii="仿宋" w:hAnsi="仿宋" w:eastAsia="仿宋" w:cs="宋体"/>
          <w:sz w:val="32"/>
          <w:szCs w:val="32"/>
          <w:lang w:val="en-US" w:eastAsia="zh-CN"/>
        </w:rPr>
        <w:t>新能源汽车技术、畜牧兽医、数字媒体技术、电子信息工程技术、工业机器人技术、现代移动通信技术、导游、广告艺术设计和市场营销等专业</w:t>
      </w:r>
      <w:r>
        <w:rPr>
          <w:rFonts w:hint="eastAsia" w:ascii="仿宋" w:hAnsi="仿宋" w:eastAsia="仿宋" w:cs="宋体"/>
          <w:sz w:val="32"/>
          <w:szCs w:val="32"/>
        </w:rPr>
        <w:t>毕业去向落实率也都达到了9</w:t>
      </w:r>
      <w:r>
        <w:rPr>
          <w:rFonts w:ascii="仿宋" w:hAnsi="仿宋" w:eastAsia="仿宋" w:cs="宋体"/>
          <w:sz w:val="32"/>
          <w:szCs w:val="32"/>
        </w:rPr>
        <w:t>0%</w:t>
      </w:r>
      <w:r>
        <w:rPr>
          <w:rFonts w:hint="eastAsia" w:ascii="仿宋" w:hAnsi="仿宋" w:eastAsia="仿宋" w:cs="宋体"/>
          <w:sz w:val="32"/>
          <w:szCs w:val="32"/>
        </w:rPr>
        <w:t>以上。</w:t>
      </w:r>
    </w:p>
    <w:p w14:paraId="5827A46B">
      <w:pPr>
        <w:spacing w:line="360" w:lineRule="auto"/>
        <w:jc w:val="left"/>
        <w:rPr>
          <w:rFonts w:ascii="仿宋" w:hAnsi="仿宋" w:eastAsia="仿宋" w:cs="宋体"/>
          <w:sz w:val="32"/>
          <w:szCs w:val="32"/>
        </w:rPr>
      </w:pPr>
    </w:p>
    <w:p w14:paraId="5BA90A5D">
      <w:pPr>
        <w:spacing w:line="360" w:lineRule="auto"/>
        <w:jc w:val="left"/>
        <w:rPr>
          <w:rFonts w:ascii="仿宋" w:hAnsi="仿宋" w:eastAsia="仿宋" w:cs="宋体"/>
          <w:sz w:val="32"/>
          <w:szCs w:val="32"/>
        </w:rPr>
      </w:pPr>
    </w:p>
    <w:p w14:paraId="6834DF5D">
      <w:pPr>
        <w:spacing w:line="360" w:lineRule="auto"/>
        <w:jc w:val="left"/>
        <w:rPr>
          <w:rFonts w:ascii="仿宋" w:hAnsi="仿宋" w:eastAsia="仿宋" w:cs="宋体"/>
          <w:sz w:val="32"/>
          <w:szCs w:val="32"/>
        </w:rPr>
      </w:pPr>
    </w:p>
    <w:p w14:paraId="4E0B1A97">
      <w:pPr>
        <w:spacing w:line="360" w:lineRule="auto"/>
        <w:jc w:val="left"/>
        <w:rPr>
          <w:rFonts w:ascii="仿宋" w:hAnsi="仿宋" w:eastAsia="仿宋" w:cs="宋体"/>
          <w:sz w:val="32"/>
          <w:szCs w:val="32"/>
        </w:rPr>
      </w:pPr>
    </w:p>
    <w:p w14:paraId="2F168405">
      <w:pPr>
        <w:spacing w:line="360" w:lineRule="auto"/>
        <w:jc w:val="center"/>
      </w:pPr>
      <w:r>
        <w:drawing>
          <wp:inline distT="0" distB="0" distL="114300" distR="114300">
            <wp:extent cx="4308475" cy="8001000"/>
            <wp:effectExtent l="0" t="0" r="15875" b="0"/>
            <wp:docPr id="31" name="图表 1" descr="7b0a202020202263686172745265734964223a202232303335323639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C080998">
      <w:pPr>
        <w:ind w:left="2310" w:leftChars="900" w:hanging="420" w:hangingChars="200"/>
        <w:jc w:val="left"/>
        <w:rPr>
          <w:rFonts w:ascii="黑体" w:hAnsi="黑体" w:eastAsia="黑体" w:cs="微软雅黑"/>
          <w:szCs w:val="21"/>
        </w:rPr>
      </w:pPr>
      <w:r>
        <w:rPr>
          <w:rFonts w:hint="eastAsia" w:ascii="黑体" w:hAnsi="黑体" w:eastAsia="黑体" w:cs="微软雅黑"/>
          <w:szCs w:val="21"/>
        </w:rPr>
        <w:t>图1</w:t>
      </w:r>
      <w:r>
        <w:rPr>
          <w:rFonts w:ascii="黑体" w:hAnsi="黑体" w:eastAsia="黑体" w:cs="微软雅黑"/>
          <w:szCs w:val="21"/>
        </w:rPr>
        <w:t>-</w:t>
      </w:r>
      <w:r>
        <w:rPr>
          <w:rFonts w:hint="eastAsia" w:ascii="黑体" w:hAnsi="黑体" w:eastAsia="黑体" w:cs="微软雅黑"/>
          <w:szCs w:val="21"/>
          <w:lang w:val="en-US" w:eastAsia="zh-CN"/>
        </w:rPr>
        <w:t>7</w:t>
      </w:r>
      <w:r>
        <w:rPr>
          <w:rFonts w:ascii="黑体" w:hAnsi="黑体" w:eastAsia="黑体" w:cs="微软雅黑"/>
          <w:szCs w:val="21"/>
        </w:rPr>
        <w:t xml:space="preserve"> 202</w:t>
      </w:r>
      <w:r>
        <w:rPr>
          <w:rFonts w:hint="eastAsia" w:ascii="黑体" w:hAnsi="黑体" w:eastAsia="黑体" w:cs="微软雅黑"/>
          <w:szCs w:val="21"/>
          <w:lang w:val="en-US" w:eastAsia="zh-CN"/>
        </w:rPr>
        <w:t>5</w:t>
      </w:r>
      <w:r>
        <w:rPr>
          <w:rFonts w:hint="eastAsia" w:ascii="黑体" w:hAnsi="黑体" w:eastAsia="黑体" w:cs="微软雅黑"/>
          <w:szCs w:val="21"/>
        </w:rPr>
        <w:t>届毕业生各</w:t>
      </w:r>
      <w:r>
        <w:rPr>
          <w:rFonts w:hint="eastAsia" w:ascii="黑体" w:hAnsi="黑体" w:eastAsia="黑体" w:cs="微软雅黑"/>
          <w:szCs w:val="21"/>
          <w:lang w:val="en-US" w:eastAsia="zh-CN"/>
        </w:rPr>
        <w:t>专业</w:t>
      </w:r>
      <w:r>
        <w:rPr>
          <w:rFonts w:hint="eastAsia" w:ascii="黑体" w:hAnsi="黑体" w:eastAsia="黑体" w:cs="微软雅黑"/>
          <w:szCs w:val="21"/>
        </w:rPr>
        <w:t>初次毕业去向落实率</w:t>
      </w:r>
    </w:p>
    <w:p w14:paraId="30E7B92A">
      <w:pPr>
        <w:spacing w:line="360" w:lineRule="auto"/>
        <w:outlineLvl w:val="0"/>
        <w:rPr>
          <w:rFonts w:ascii="楷体" w:hAnsi="楷体" w:eastAsia="楷体" w:cs="仿宋"/>
          <w:b/>
          <w:bCs/>
          <w:sz w:val="32"/>
          <w:szCs w:val="32"/>
        </w:rPr>
      </w:pPr>
    </w:p>
    <w:p w14:paraId="5782BACE">
      <w:pPr>
        <w:spacing w:line="360" w:lineRule="auto"/>
        <w:ind w:firstLine="321" w:firstLineChars="100"/>
        <w:outlineLvl w:val="0"/>
        <w:rPr>
          <w:rFonts w:ascii="楷体" w:hAnsi="楷体" w:eastAsia="楷体" w:cs="仿宋"/>
          <w:b/>
          <w:bCs/>
          <w:sz w:val="32"/>
          <w:szCs w:val="32"/>
        </w:rPr>
      </w:pPr>
      <w:bookmarkStart w:id="18" w:name="_Toc7008"/>
      <w:r>
        <w:rPr>
          <w:rFonts w:hint="eastAsia" w:ascii="楷体" w:hAnsi="楷体" w:eastAsia="楷体" w:cs="仿宋"/>
          <w:b/>
          <w:bCs/>
          <w:sz w:val="32"/>
          <w:szCs w:val="32"/>
        </w:rPr>
        <w:t>（</w:t>
      </w:r>
      <w:r>
        <w:rPr>
          <w:rFonts w:hint="eastAsia" w:ascii="楷体" w:hAnsi="楷体" w:eastAsia="楷体" w:cs="仿宋"/>
          <w:b/>
          <w:bCs/>
          <w:sz w:val="32"/>
          <w:szCs w:val="32"/>
          <w:lang w:val="en-US" w:eastAsia="zh-CN"/>
        </w:rPr>
        <w:t>四</w:t>
      </w:r>
      <w:r>
        <w:rPr>
          <w:rFonts w:hint="eastAsia" w:ascii="楷体" w:hAnsi="楷体" w:eastAsia="楷体" w:cs="仿宋"/>
          <w:b/>
          <w:bCs/>
          <w:sz w:val="32"/>
          <w:szCs w:val="32"/>
        </w:rPr>
        <w:t>）未就业情况分析</w:t>
      </w:r>
      <w:bookmarkEnd w:id="18"/>
    </w:p>
    <w:p w14:paraId="42A6C29D">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未就业的毕业生中最多原因是求职中，其次是不就业拟升学</w:t>
      </w:r>
      <w:r>
        <w:rPr>
          <w:rFonts w:hint="eastAsia" w:ascii="仿宋" w:hAnsi="仿宋" w:eastAsia="仿宋" w:cs="宋体"/>
          <w:sz w:val="32"/>
          <w:szCs w:val="32"/>
          <w:lang w:val="en-US" w:eastAsia="zh-CN"/>
        </w:rPr>
        <w:t>和</w:t>
      </w:r>
      <w:r>
        <w:rPr>
          <w:rFonts w:hint="eastAsia" w:ascii="仿宋" w:hAnsi="仿宋" w:eastAsia="仿宋" w:cs="宋体"/>
          <w:sz w:val="32"/>
          <w:szCs w:val="32"/>
        </w:rPr>
        <w:t>拟应征入伍。</w:t>
      </w:r>
    </w:p>
    <w:p w14:paraId="001E76E7">
      <w:pPr>
        <w:jc w:val="center"/>
        <w:outlineLvl w:val="2"/>
        <w:rPr>
          <w:rFonts w:ascii="黑体" w:hAnsi="黑体" w:eastAsia="黑体" w:cs="微软雅黑"/>
          <w:szCs w:val="21"/>
        </w:rPr>
      </w:pPr>
      <w:r>
        <w:drawing>
          <wp:inline distT="0" distB="0" distL="114300" distR="114300">
            <wp:extent cx="4114800" cy="3323590"/>
            <wp:effectExtent l="0" t="0" r="0" b="0"/>
            <wp:docPr id="106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3C7EC56">
      <w:pPr>
        <w:jc w:val="center"/>
        <w:outlineLvl w:val="2"/>
        <w:rPr>
          <w:rFonts w:ascii="仿宋" w:hAnsi="仿宋" w:eastAsia="仿宋" w:cs="仿宋"/>
          <w:b/>
          <w:bCs/>
          <w:sz w:val="28"/>
          <w:szCs w:val="21"/>
        </w:rPr>
      </w:pPr>
      <w:r>
        <w:rPr>
          <w:rFonts w:hint="eastAsia" w:ascii="黑体" w:hAnsi="黑体" w:eastAsia="黑体" w:cs="微软雅黑"/>
          <w:szCs w:val="21"/>
        </w:rPr>
        <w:t>图1-</w:t>
      </w:r>
      <w:r>
        <w:rPr>
          <w:rFonts w:hint="eastAsia" w:ascii="黑体" w:hAnsi="黑体" w:eastAsia="黑体" w:cs="微软雅黑"/>
          <w:szCs w:val="21"/>
          <w:lang w:val="en-US" w:eastAsia="zh-CN"/>
        </w:rPr>
        <w:t>8</w:t>
      </w:r>
      <w:r>
        <w:rPr>
          <w:rFonts w:hint="eastAsia" w:ascii="黑体" w:hAnsi="黑体" w:eastAsia="黑体" w:cs="微软雅黑"/>
          <w:szCs w:val="21"/>
        </w:rPr>
        <w:t xml:space="preserve"> 202</w:t>
      </w:r>
      <w:r>
        <w:rPr>
          <w:rFonts w:hint="eastAsia" w:ascii="黑体" w:hAnsi="黑体" w:eastAsia="黑体" w:cs="微软雅黑"/>
          <w:szCs w:val="21"/>
          <w:lang w:val="en-US" w:eastAsia="zh-CN"/>
        </w:rPr>
        <w:t>5</w:t>
      </w:r>
      <w:r>
        <w:rPr>
          <w:rFonts w:hint="eastAsia" w:ascii="黑体" w:hAnsi="黑体" w:eastAsia="黑体" w:cs="微软雅黑"/>
          <w:szCs w:val="21"/>
        </w:rPr>
        <w:t>届毕业生未就业情况分析</w:t>
      </w:r>
    </w:p>
    <w:p w14:paraId="5EE745C8">
      <w:pPr>
        <w:ind w:firstLine="640" w:firstLineChars="200"/>
        <w:jc w:val="left"/>
        <w:outlineLvl w:val="0"/>
        <w:rPr>
          <w:rFonts w:ascii="黑体" w:hAnsi="黑体" w:eastAsia="黑体" w:cs="宋体"/>
          <w:bCs/>
          <w:sz w:val="32"/>
          <w:szCs w:val="32"/>
        </w:rPr>
      </w:pPr>
      <w:bookmarkStart w:id="19" w:name="_Toc18704"/>
      <w:r>
        <w:rPr>
          <w:rFonts w:hint="eastAsia" w:ascii="黑体" w:hAnsi="黑体" w:eastAsia="黑体" w:cs="宋体"/>
          <w:bCs/>
          <w:sz w:val="32"/>
          <w:szCs w:val="32"/>
        </w:rPr>
        <w:t>三、就业流向</w:t>
      </w:r>
      <w:bookmarkEnd w:id="19"/>
    </w:p>
    <w:p w14:paraId="6EAFC72E">
      <w:pPr>
        <w:spacing w:line="360" w:lineRule="auto"/>
        <w:ind w:firstLine="321" w:firstLineChars="100"/>
        <w:outlineLvl w:val="0"/>
        <w:rPr>
          <w:rFonts w:ascii="楷体" w:hAnsi="楷体" w:eastAsia="楷体" w:cs="仿宋"/>
          <w:b/>
          <w:bCs/>
          <w:sz w:val="32"/>
          <w:szCs w:val="32"/>
        </w:rPr>
      </w:pPr>
      <w:bookmarkStart w:id="20" w:name="_Toc3416"/>
      <w:r>
        <w:rPr>
          <w:rFonts w:hint="eastAsia" w:ascii="楷体" w:hAnsi="楷体" w:eastAsia="楷体" w:cs="仿宋"/>
          <w:b/>
          <w:bCs/>
          <w:sz w:val="32"/>
          <w:szCs w:val="32"/>
        </w:rPr>
        <w:t>（一）就业地区流向</w:t>
      </w:r>
      <w:bookmarkEnd w:id="20"/>
    </w:p>
    <w:p w14:paraId="7A865F3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 w:hAnsi="仿宋" w:eastAsia="仿宋" w:cs="宋体"/>
          <w:sz w:val="32"/>
          <w:szCs w:val="32"/>
        </w:rPr>
      </w:pPr>
      <w:r>
        <w:rPr>
          <w:rFonts w:hint="eastAsia" w:ascii="仿宋" w:hAnsi="仿宋" w:eastAsia="仿宋" w:cs="宋体"/>
          <w:sz w:val="32"/>
          <w:szCs w:val="32"/>
        </w:rPr>
        <w:t>省内就业总人数 1479 人（占比 70.</w:t>
      </w:r>
      <w:r>
        <w:rPr>
          <w:rFonts w:hint="eastAsia" w:ascii="仿宋" w:hAnsi="仿宋" w:eastAsia="仿宋" w:cs="宋体"/>
          <w:sz w:val="32"/>
          <w:szCs w:val="32"/>
          <w:lang w:val="en-US" w:eastAsia="zh-CN"/>
        </w:rPr>
        <w:t>66</w:t>
      </w:r>
      <w:r>
        <w:rPr>
          <w:rFonts w:hint="eastAsia" w:ascii="仿宋" w:hAnsi="仿宋" w:eastAsia="仿宋" w:cs="宋体"/>
          <w:sz w:val="32"/>
          <w:szCs w:val="32"/>
        </w:rPr>
        <w:t>%），仍是绝对主流。阜新市以 418 人位列第一，沈阳市 412 人紧随其后，二者合计占省内就业的</w:t>
      </w:r>
      <w:r>
        <w:rPr>
          <w:rFonts w:hint="eastAsia" w:ascii="仿宋" w:hAnsi="仿宋" w:eastAsia="仿宋" w:cs="宋体"/>
          <w:color w:val="auto"/>
          <w:sz w:val="32"/>
          <w:szCs w:val="32"/>
        </w:rPr>
        <w:t xml:space="preserve"> 56.</w:t>
      </w:r>
      <w:r>
        <w:rPr>
          <w:rFonts w:hint="eastAsia" w:ascii="仿宋" w:hAnsi="仿宋" w:eastAsia="仿宋" w:cs="宋体"/>
          <w:color w:val="auto"/>
          <w:sz w:val="32"/>
          <w:szCs w:val="32"/>
          <w:lang w:val="en-US" w:eastAsia="zh-CN"/>
        </w:rPr>
        <w:t>12</w:t>
      </w:r>
      <w:r>
        <w:rPr>
          <w:rFonts w:hint="eastAsia" w:ascii="仿宋" w:hAnsi="仿宋" w:eastAsia="仿宋" w:cs="宋体"/>
          <w:color w:val="auto"/>
          <w:sz w:val="32"/>
          <w:szCs w:val="32"/>
        </w:rPr>
        <w:t>%</w:t>
      </w:r>
      <w:r>
        <w:rPr>
          <w:rFonts w:hint="eastAsia" w:ascii="仿宋" w:hAnsi="仿宋" w:eastAsia="仿宋" w:cs="宋体"/>
          <w:sz w:val="32"/>
          <w:szCs w:val="32"/>
        </w:rPr>
        <w:t>，成为核心就业聚集地。省外就业 613 人（占比 29.</w:t>
      </w:r>
      <w:r>
        <w:rPr>
          <w:rFonts w:hint="eastAsia" w:ascii="仿宋" w:hAnsi="仿宋" w:eastAsia="仿宋" w:cs="宋体"/>
          <w:sz w:val="32"/>
          <w:szCs w:val="32"/>
          <w:lang w:val="en-US" w:eastAsia="zh-CN"/>
        </w:rPr>
        <w:t>29</w:t>
      </w:r>
      <w:r>
        <w:rPr>
          <w:rFonts w:hint="eastAsia" w:ascii="仿宋" w:hAnsi="仿宋" w:eastAsia="仿宋" w:cs="宋体"/>
          <w:sz w:val="32"/>
          <w:szCs w:val="32"/>
        </w:rPr>
        <w:t>%），远低于省内，体现强烈的本土就业偏好。</w:t>
      </w:r>
    </w:p>
    <w:p w14:paraId="166EC85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 w:hAnsi="仿宋" w:eastAsia="仿宋" w:cs="宋体"/>
          <w:sz w:val="32"/>
          <w:szCs w:val="32"/>
        </w:rPr>
      </w:pPr>
    </w:p>
    <w:p w14:paraId="2184CE9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 w:hAnsi="仿宋" w:eastAsia="仿宋" w:cs="宋体"/>
          <w:sz w:val="32"/>
          <w:szCs w:val="32"/>
        </w:rPr>
      </w:pPr>
    </w:p>
    <w:p w14:paraId="35BE00E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 w:hAnsi="仿宋" w:eastAsia="仿宋" w:cs="宋体"/>
          <w:sz w:val="32"/>
          <w:szCs w:val="32"/>
        </w:rPr>
      </w:pPr>
    </w:p>
    <w:p w14:paraId="719DEC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 w:hAnsi="仿宋" w:eastAsia="仿宋" w:cs="宋体"/>
          <w:sz w:val="32"/>
          <w:szCs w:val="32"/>
        </w:rPr>
      </w:pPr>
    </w:p>
    <w:p w14:paraId="0BD61025">
      <w:pPr>
        <w:jc w:val="left"/>
        <w:rPr>
          <w:rFonts w:ascii="黑体" w:hAnsi="黑体" w:eastAsia="黑体" w:cs="微软雅黑"/>
          <w:szCs w:val="21"/>
        </w:rPr>
      </w:pPr>
      <w:r>
        <w:drawing>
          <wp:inline distT="0" distB="0" distL="114300" distR="114300">
            <wp:extent cx="5272405" cy="4123055"/>
            <wp:effectExtent l="0" t="0" r="4445" b="10795"/>
            <wp:docPr id="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pic:cNvPicPr>
                      <a:picLocks noChangeAspect="1"/>
                    </pic:cNvPicPr>
                  </pic:nvPicPr>
                  <pic:blipFill>
                    <a:blip r:embed="rId23"/>
                    <a:stretch>
                      <a:fillRect/>
                    </a:stretch>
                  </pic:blipFill>
                  <pic:spPr>
                    <a:xfrm>
                      <a:off x="0" y="0"/>
                      <a:ext cx="5272405" cy="4123055"/>
                    </a:xfrm>
                    <a:prstGeom prst="rect">
                      <a:avLst/>
                    </a:prstGeom>
                    <a:noFill/>
                    <a:ln>
                      <a:noFill/>
                    </a:ln>
                  </pic:spPr>
                </pic:pic>
              </a:graphicData>
            </a:graphic>
          </wp:inline>
        </w:drawing>
      </w:r>
    </w:p>
    <w:p w14:paraId="4B275A16">
      <w:pPr>
        <w:jc w:val="center"/>
        <w:rPr>
          <w:rFonts w:hint="eastAsia" w:ascii="黑体" w:hAnsi="黑体" w:eastAsia="黑体" w:cs="微软雅黑"/>
          <w:szCs w:val="21"/>
        </w:rPr>
      </w:pPr>
      <w:r>
        <w:rPr>
          <w:rFonts w:hint="eastAsia" w:ascii="黑体" w:hAnsi="黑体" w:eastAsia="黑体" w:cs="微软雅黑"/>
          <w:szCs w:val="21"/>
        </w:rPr>
        <w:t>图1-</w:t>
      </w:r>
      <w:r>
        <w:rPr>
          <w:rFonts w:hint="eastAsia" w:ascii="黑体" w:hAnsi="黑体" w:eastAsia="黑体" w:cs="微软雅黑"/>
          <w:szCs w:val="21"/>
          <w:lang w:val="en-US" w:eastAsia="zh-CN"/>
        </w:rPr>
        <w:t>9</w:t>
      </w:r>
      <w:r>
        <w:rPr>
          <w:rFonts w:hint="eastAsia" w:ascii="黑体" w:hAnsi="黑体" w:eastAsia="黑体" w:cs="微软雅黑"/>
          <w:szCs w:val="21"/>
        </w:rPr>
        <w:t xml:space="preserve"> 20</w:t>
      </w:r>
      <w:r>
        <w:rPr>
          <w:rFonts w:hint="eastAsia" w:ascii="黑体" w:hAnsi="黑体" w:eastAsia="黑体" w:cs="微软雅黑"/>
          <w:szCs w:val="21"/>
          <w:lang w:val="en-US" w:eastAsia="zh-CN"/>
        </w:rPr>
        <w:t>25</w:t>
      </w:r>
      <w:r>
        <w:rPr>
          <w:rFonts w:hint="eastAsia" w:ascii="黑体" w:hAnsi="黑体" w:eastAsia="黑体" w:cs="微软雅黑"/>
          <w:szCs w:val="21"/>
        </w:rPr>
        <w:t>届毕业生就业各省分布</w:t>
      </w:r>
    </w:p>
    <w:p w14:paraId="51EB5C41">
      <w:pPr>
        <w:jc w:val="center"/>
      </w:pPr>
      <w:r>
        <w:drawing>
          <wp:inline distT="0" distB="0" distL="114300" distR="114300">
            <wp:extent cx="5274945" cy="3769995"/>
            <wp:effectExtent l="0" t="0" r="1905" b="1905"/>
            <wp:docPr id="3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527CAC7">
      <w:pPr>
        <w:jc w:val="center"/>
        <w:rPr>
          <w:rFonts w:hint="eastAsia"/>
        </w:rPr>
      </w:pPr>
    </w:p>
    <w:p w14:paraId="33145C81">
      <w:pPr>
        <w:jc w:val="center"/>
        <w:rPr>
          <w:rFonts w:ascii="微软雅黑" w:hAnsi="微软雅黑" w:eastAsia="微软雅黑" w:cs="微软雅黑"/>
          <w:sz w:val="28"/>
          <w:szCs w:val="21"/>
        </w:rPr>
      </w:pPr>
      <w:r>
        <w:rPr>
          <w:rFonts w:hint="eastAsia" w:ascii="黑体" w:hAnsi="黑体" w:eastAsia="黑体" w:cs="微软雅黑"/>
          <w:szCs w:val="21"/>
        </w:rPr>
        <w:t>图1-</w:t>
      </w:r>
      <w:r>
        <w:rPr>
          <w:rFonts w:hint="eastAsia" w:ascii="黑体" w:hAnsi="黑体" w:eastAsia="黑体" w:cs="微软雅黑"/>
          <w:szCs w:val="21"/>
          <w:lang w:val="en-US" w:eastAsia="zh-CN"/>
        </w:rPr>
        <w:t>10</w:t>
      </w:r>
      <w:r>
        <w:rPr>
          <w:rFonts w:hint="eastAsia" w:ascii="黑体" w:hAnsi="黑体" w:eastAsia="黑体" w:cs="微软雅黑"/>
          <w:szCs w:val="21"/>
        </w:rPr>
        <w:t xml:space="preserve"> 202</w:t>
      </w:r>
      <w:r>
        <w:rPr>
          <w:rFonts w:hint="eastAsia" w:ascii="黑体" w:hAnsi="黑体" w:eastAsia="黑体" w:cs="微软雅黑"/>
          <w:szCs w:val="21"/>
          <w:lang w:val="en-US" w:eastAsia="zh-CN"/>
        </w:rPr>
        <w:t>5</w:t>
      </w:r>
      <w:r>
        <w:rPr>
          <w:rFonts w:hint="eastAsia" w:ascii="黑体" w:hAnsi="黑体" w:eastAsia="黑体" w:cs="微软雅黑"/>
          <w:szCs w:val="21"/>
        </w:rPr>
        <w:t>届毕业生就业辽宁省内分布</w:t>
      </w:r>
    </w:p>
    <w:p w14:paraId="7FB86B28">
      <w:pPr>
        <w:spacing w:line="360" w:lineRule="auto"/>
        <w:ind w:firstLine="321" w:firstLineChars="100"/>
        <w:outlineLvl w:val="0"/>
        <w:rPr>
          <w:rFonts w:ascii="楷体" w:hAnsi="楷体" w:eastAsia="楷体" w:cs="仿宋"/>
          <w:b/>
          <w:bCs/>
          <w:sz w:val="32"/>
          <w:szCs w:val="32"/>
        </w:rPr>
      </w:pPr>
      <w:bookmarkStart w:id="21" w:name="_Toc5739"/>
      <w:r>
        <w:rPr>
          <w:rFonts w:hint="eastAsia" w:ascii="楷体" w:hAnsi="楷体" w:eastAsia="楷体" w:cs="仿宋"/>
          <w:b/>
          <w:bCs/>
          <w:sz w:val="32"/>
          <w:szCs w:val="32"/>
        </w:rPr>
        <w:t>（二）就业单位流向</w:t>
      </w:r>
      <w:bookmarkEnd w:id="21"/>
    </w:p>
    <w:p w14:paraId="51CD26C9">
      <w:pPr>
        <w:spacing w:line="360" w:lineRule="auto"/>
        <w:ind w:firstLine="561"/>
        <w:jc w:val="left"/>
        <w:rPr>
          <w:rFonts w:ascii="宋体" w:hAnsi="宋体" w:eastAsia="宋体" w:cs="宋体"/>
          <w:sz w:val="24"/>
        </w:rPr>
      </w:pPr>
      <w:r>
        <w:rPr>
          <w:rFonts w:hint="eastAsia" w:ascii="仿宋" w:hAnsi="仿宋" w:eastAsia="仿宋" w:cs="宋体"/>
          <w:sz w:val="32"/>
          <w:szCs w:val="32"/>
        </w:rPr>
        <w:t>就业单位类型主要为企业，其中其他企业（</w:t>
      </w:r>
      <w:r>
        <w:rPr>
          <w:rFonts w:hint="eastAsia" w:ascii="仿宋" w:hAnsi="仿宋" w:eastAsia="仿宋" w:cs="宋体"/>
          <w:sz w:val="32"/>
          <w:szCs w:val="32"/>
          <w:lang w:val="en-US" w:eastAsia="zh-CN"/>
        </w:rPr>
        <w:t>含民营企业等</w:t>
      </w:r>
      <w:r>
        <w:rPr>
          <w:rFonts w:hint="eastAsia" w:ascii="仿宋" w:hAnsi="仿宋" w:eastAsia="仿宋" w:cs="宋体"/>
          <w:sz w:val="32"/>
          <w:szCs w:val="32"/>
        </w:rPr>
        <w:t>）为主，占比</w:t>
      </w:r>
      <w:r>
        <w:rPr>
          <w:rFonts w:hint="eastAsia" w:ascii="仿宋" w:hAnsi="仿宋" w:eastAsia="仿宋" w:cs="宋体"/>
          <w:sz w:val="32"/>
          <w:szCs w:val="32"/>
          <w:lang w:val="en-US" w:eastAsia="zh-CN"/>
        </w:rPr>
        <w:t>32.49</w:t>
      </w:r>
      <w:r>
        <w:rPr>
          <w:rFonts w:ascii="仿宋" w:hAnsi="仿宋" w:eastAsia="仿宋" w:cs="宋体"/>
          <w:sz w:val="32"/>
          <w:szCs w:val="32"/>
        </w:rPr>
        <w:t>%</w:t>
      </w:r>
      <w:r>
        <w:rPr>
          <w:rFonts w:hint="eastAsia" w:ascii="仿宋" w:hAnsi="仿宋" w:eastAsia="仿宋" w:cs="宋体"/>
          <w:sz w:val="32"/>
          <w:szCs w:val="32"/>
        </w:rPr>
        <w:t>，其次为个体工商户，占比</w:t>
      </w:r>
      <w:r>
        <w:rPr>
          <w:rFonts w:hint="eastAsia" w:ascii="仿宋" w:hAnsi="仿宋" w:eastAsia="仿宋" w:cs="宋体"/>
          <w:sz w:val="32"/>
          <w:szCs w:val="32"/>
          <w:lang w:val="en-US" w:eastAsia="zh-CN"/>
        </w:rPr>
        <w:t>23.53</w:t>
      </w:r>
      <w:r>
        <w:rPr>
          <w:rFonts w:ascii="仿宋" w:hAnsi="仿宋" w:eastAsia="仿宋" w:cs="宋体"/>
          <w:sz w:val="32"/>
          <w:szCs w:val="32"/>
        </w:rPr>
        <w:t>%</w:t>
      </w:r>
      <w:r>
        <w:rPr>
          <w:rFonts w:hint="eastAsia" w:ascii="仿宋" w:hAnsi="仿宋" w:eastAsia="仿宋" w:cs="宋体"/>
          <w:sz w:val="32"/>
          <w:szCs w:val="32"/>
        </w:rPr>
        <w:t>。</w:t>
      </w:r>
      <w:r>
        <w:rPr>
          <w:rFonts w:hint="eastAsia" w:ascii="宋体" w:hAnsi="宋体" w:eastAsia="宋体" w:cs="宋体"/>
          <w:sz w:val="24"/>
        </w:rPr>
        <w:t xml:space="preserve"> </w:t>
      </w:r>
    </w:p>
    <w:p w14:paraId="4570BE50">
      <w:pPr>
        <w:jc w:val="left"/>
        <w:rPr>
          <w:rFonts w:ascii="微软雅黑" w:hAnsi="微软雅黑" w:eastAsia="微软雅黑" w:cs="微软雅黑"/>
          <w:sz w:val="28"/>
          <w:szCs w:val="21"/>
        </w:rPr>
      </w:pPr>
      <w:r>
        <w:drawing>
          <wp:inline distT="0" distB="0" distL="114300" distR="114300">
            <wp:extent cx="5277485" cy="3185795"/>
            <wp:effectExtent l="0" t="0" r="0" b="0"/>
            <wp:docPr id="1048"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8F4D7AB">
      <w:pPr>
        <w:jc w:val="center"/>
        <w:rPr>
          <w:rFonts w:ascii="黑体" w:hAnsi="黑体" w:eastAsia="黑体" w:cs="微软雅黑"/>
          <w:szCs w:val="21"/>
        </w:rPr>
      </w:pPr>
      <w:r>
        <w:rPr>
          <w:rFonts w:hint="eastAsia" w:ascii="黑体" w:hAnsi="黑体" w:eastAsia="黑体" w:cs="微软雅黑"/>
          <w:szCs w:val="21"/>
        </w:rPr>
        <w:t>图1-</w:t>
      </w:r>
      <w:r>
        <w:rPr>
          <w:rFonts w:ascii="黑体" w:hAnsi="黑体" w:eastAsia="黑体" w:cs="微软雅黑"/>
          <w:szCs w:val="21"/>
        </w:rPr>
        <w:t>1</w:t>
      </w:r>
      <w:r>
        <w:rPr>
          <w:rFonts w:hint="eastAsia" w:ascii="黑体" w:hAnsi="黑体" w:eastAsia="黑体" w:cs="微软雅黑"/>
          <w:szCs w:val="21"/>
          <w:lang w:val="en-US" w:eastAsia="zh-CN"/>
        </w:rPr>
        <w:t>1</w:t>
      </w:r>
      <w:r>
        <w:rPr>
          <w:rFonts w:hint="eastAsia" w:ascii="黑体" w:hAnsi="黑体" w:eastAsia="黑体" w:cs="微软雅黑"/>
          <w:szCs w:val="21"/>
        </w:rPr>
        <w:t xml:space="preserve"> 202</w:t>
      </w:r>
      <w:r>
        <w:rPr>
          <w:rFonts w:hint="eastAsia" w:ascii="黑体" w:hAnsi="黑体" w:eastAsia="黑体" w:cs="微软雅黑"/>
          <w:szCs w:val="21"/>
          <w:lang w:val="en-US" w:eastAsia="zh-CN"/>
        </w:rPr>
        <w:t>5</w:t>
      </w:r>
      <w:r>
        <w:rPr>
          <w:rFonts w:hint="eastAsia" w:ascii="黑体" w:hAnsi="黑体" w:eastAsia="黑体" w:cs="微软雅黑"/>
          <w:szCs w:val="21"/>
        </w:rPr>
        <w:t>届毕业生就业单位流向</w:t>
      </w:r>
    </w:p>
    <w:p w14:paraId="3AA53186">
      <w:pPr>
        <w:spacing w:line="360" w:lineRule="auto"/>
        <w:ind w:firstLine="561"/>
        <w:jc w:val="left"/>
        <w:rPr>
          <w:rFonts w:ascii="仿宋" w:hAnsi="仿宋" w:eastAsia="仿宋" w:cs="宋体"/>
          <w:sz w:val="32"/>
          <w:szCs w:val="32"/>
        </w:rPr>
      </w:pPr>
    </w:p>
    <w:p w14:paraId="64593814">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毕业生就业的企业规模主要集中在</w:t>
      </w:r>
      <w:r>
        <w:rPr>
          <w:rFonts w:hint="eastAsia" w:ascii="仿宋" w:hAnsi="仿宋" w:eastAsia="仿宋" w:cs="宋体"/>
          <w:sz w:val="32"/>
          <w:szCs w:val="32"/>
          <w:lang w:val="en-US" w:eastAsia="zh-CN"/>
        </w:rPr>
        <w:t>小微企业</w:t>
      </w:r>
      <w:r>
        <w:rPr>
          <w:rFonts w:hint="eastAsia" w:ascii="仿宋" w:hAnsi="仿宋" w:eastAsia="仿宋" w:cs="宋体"/>
          <w:sz w:val="32"/>
          <w:szCs w:val="32"/>
        </w:rPr>
        <w:t>就业，占比</w:t>
      </w:r>
      <w:r>
        <w:rPr>
          <w:rFonts w:hint="eastAsia" w:ascii="仿宋" w:hAnsi="仿宋" w:eastAsia="仿宋" w:cs="宋体"/>
          <w:sz w:val="32"/>
          <w:szCs w:val="32"/>
          <w:lang w:val="en-US" w:eastAsia="zh-CN"/>
        </w:rPr>
        <w:t>83.47</w:t>
      </w:r>
      <w:r>
        <w:rPr>
          <w:rFonts w:ascii="仿宋" w:hAnsi="仿宋" w:eastAsia="仿宋" w:cs="宋体"/>
          <w:sz w:val="32"/>
          <w:szCs w:val="32"/>
        </w:rPr>
        <w:t>%</w:t>
      </w:r>
      <w:r>
        <w:rPr>
          <w:rFonts w:hint="eastAsia" w:ascii="仿宋" w:hAnsi="仿宋" w:eastAsia="仿宋" w:cs="宋体"/>
          <w:sz w:val="32"/>
          <w:szCs w:val="32"/>
        </w:rPr>
        <w:t>。</w:t>
      </w:r>
    </w:p>
    <w:p w14:paraId="2FEAD996">
      <w:pPr>
        <w:spacing w:line="360" w:lineRule="auto"/>
        <w:ind w:firstLine="561"/>
        <w:jc w:val="center"/>
        <w:rPr>
          <w:rFonts w:ascii="宋体" w:hAnsi="宋体" w:eastAsia="宋体" w:cs="宋体"/>
          <w:sz w:val="24"/>
        </w:rPr>
      </w:pPr>
      <w:r>
        <w:drawing>
          <wp:inline distT="0" distB="0" distL="114300" distR="114300">
            <wp:extent cx="3862070" cy="4469130"/>
            <wp:effectExtent l="0" t="0" r="5080" b="7620"/>
            <wp:docPr id="36" name="图表 2"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689F1B6">
      <w:pPr>
        <w:jc w:val="center"/>
        <w:rPr>
          <w:rFonts w:ascii="黑体" w:hAnsi="黑体" w:eastAsia="黑体" w:cs="微软雅黑"/>
          <w:szCs w:val="21"/>
        </w:rPr>
      </w:pPr>
      <w:r>
        <w:rPr>
          <w:rFonts w:hint="eastAsia" w:ascii="黑体" w:hAnsi="黑体" w:eastAsia="黑体" w:cs="微软雅黑"/>
          <w:szCs w:val="21"/>
        </w:rPr>
        <w:t>图1-</w:t>
      </w:r>
      <w:r>
        <w:rPr>
          <w:rFonts w:ascii="黑体" w:hAnsi="黑体" w:eastAsia="黑体" w:cs="微软雅黑"/>
          <w:szCs w:val="21"/>
        </w:rPr>
        <w:t>1</w:t>
      </w:r>
      <w:r>
        <w:rPr>
          <w:rFonts w:hint="eastAsia" w:ascii="黑体" w:hAnsi="黑体" w:eastAsia="黑体" w:cs="微软雅黑"/>
          <w:szCs w:val="21"/>
          <w:lang w:val="en-US" w:eastAsia="zh-CN"/>
        </w:rPr>
        <w:t>2</w:t>
      </w:r>
      <w:r>
        <w:rPr>
          <w:rFonts w:hint="eastAsia" w:ascii="黑体" w:hAnsi="黑体" w:eastAsia="黑体" w:cs="微软雅黑"/>
          <w:szCs w:val="21"/>
        </w:rPr>
        <w:t xml:space="preserve"> 202</w:t>
      </w:r>
      <w:r>
        <w:rPr>
          <w:rFonts w:hint="eastAsia" w:ascii="黑体" w:hAnsi="黑体" w:eastAsia="黑体" w:cs="微软雅黑"/>
          <w:szCs w:val="21"/>
          <w:lang w:val="en-US" w:eastAsia="zh-CN"/>
        </w:rPr>
        <w:t>5</w:t>
      </w:r>
      <w:r>
        <w:rPr>
          <w:rFonts w:hint="eastAsia" w:ascii="黑体" w:hAnsi="黑体" w:eastAsia="黑体" w:cs="微软雅黑"/>
          <w:szCs w:val="21"/>
        </w:rPr>
        <w:t>届毕业生就业单位规模</w:t>
      </w:r>
    </w:p>
    <w:p w14:paraId="008DF658">
      <w:pPr>
        <w:spacing w:line="360" w:lineRule="auto"/>
        <w:ind w:firstLine="321" w:firstLineChars="100"/>
        <w:outlineLvl w:val="0"/>
        <w:rPr>
          <w:rFonts w:ascii="楷体" w:hAnsi="楷体" w:eastAsia="楷体" w:cs="仿宋"/>
          <w:b/>
          <w:bCs/>
          <w:sz w:val="32"/>
          <w:szCs w:val="32"/>
        </w:rPr>
      </w:pPr>
      <w:bookmarkStart w:id="22" w:name="_Toc32669"/>
      <w:r>
        <w:rPr>
          <w:rFonts w:hint="eastAsia" w:ascii="楷体" w:hAnsi="楷体" w:eastAsia="楷体" w:cs="仿宋"/>
          <w:b/>
          <w:bCs/>
          <w:sz w:val="32"/>
          <w:szCs w:val="32"/>
        </w:rPr>
        <w:t>（三）就业行业流向</w:t>
      </w:r>
      <w:bookmarkEnd w:id="22"/>
    </w:p>
    <w:p w14:paraId="6BC1B437">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毕业生服务于各行各业，其中教育（</w:t>
      </w:r>
      <w:r>
        <w:rPr>
          <w:rFonts w:hint="eastAsia" w:ascii="仿宋" w:hAnsi="仿宋" w:eastAsia="仿宋" w:cs="宋体"/>
          <w:sz w:val="32"/>
          <w:szCs w:val="32"/>
          <w:lang w:val="en-US" w:eastAsia="zh-CN"/>
        </w:rPr>
        <w:t>17.02</w:t>
      </w:r>
      <w:r>
        <w:rPr>
          <w:rFonts w:ascii="仿宋" w:hAnsi="仿宋" w:eastAsia="仿宋" w:cs="宋体"/>
          <w:sz w:val="32"/>
          <w:szCs w:val="32"/>
        </w:rPr>
        <w:t>%</w:t>
      </w:r>
      <w:r>
        <w:rPr>
          <w:rFonts w:hint="eastAsia" w:ascii="仿宋" w:hAnsi="仿宋" w:eastAsia="仿宋" w:cs="宋体"/>
          <w:sz w:val="32"/>
          <w:szCs w:val="32"/>
        </w:rPr>
        <w:t>）、批发和零售业（1</w:t>
      </w:r>
      <w:r>
        <w:rPr>
          <w:rFonts w:ascii="仿宋" w:hAnsi="仿宋" w:eastAsia="仿宋" w:cs="宋体"/>
          <w:sz w:val="32"/>
          <w:szCs w:val="32"/>
        </w:rPr>
        <w:t>3.</w:t>
      </w:r>
      <w:r>
        <w:rPr>
          <w:rFonts w:hint="eastAsia" w:ascii="仿宋" w:hAnsi="仿宋" w:eastAsia="仿宋" w:cs="宋体"/>
          <w:sz w:val="32"/>
          <w:szCs w:val="32"/>
          <w:lang w:val="en-US" w:eastAsia="zh-CN"/>
        </w:rPr>
        <w:t>16</w:t>
      </w:r>
      <w:r>
        <w:rPr>
          <w:rFonts w:ascii="仿宋" w:hAnsi="仿宋" w:eastAsia="仿宋" w:cs="宋体"/>
          <w:sz w:val="32"/>
          <w:szCs w:val="32"/>
        </w:rPr>
        <w:t>%</w:t>
      </w:r>
      <w:r>
        <w:rPr>
          <w:rFonts w:hint="eastAsia" w:ascii="仿宋" w:hAnsi="仿宋" w:eastAsia="仿宋" w:cs="宋体"/>
          <w:sz w:val="32"/>
          <w:szCs w:val="32"/>
        </w:rPr>
        <w:t>）、农、林、牧、渔业</w:t>
      </w:r>
      <w:r>
        <w:rPr>
          <w:rFonts w:hint="eastAsia" w:ascii="仿宋" w:hAnsi="仿宋" w:eastAsia="仿宋" w:cs="宋体"/>
          <w:sz w:val="32"/>
          <w:szCs w:val="32"/>
          <w:lang w:eastAsia="zh-CN"/>
        </w:rPr>
        <w:t>（</w:t>
      </w:r>
      <w:r>
        <w:rPr>
          <w:rFonts w:hint="eastAsia" w:ascii="仿宋" w:hAnsi="仿宋" w:eastAsia="仿宋" w:cs="宋体"/>
          <w:sz w:val="32"/>
          <w:szCs w:val="32"/>
          <w:lang w:val="en-US" w:eastAsia="zh-CN"/>
        </w:rPr>
        <w:t>11.23</w:t>
      </w:r>
      <w:r>
        <w:rPr>
          <w:rFonts w:hint="eastAsia" w:ascii="仿宋" w:hAnsi="仿宋" w:eastAsia="仿宋" w:cs="宋体"/>
          <w:sz w:val="32"/>
          <w:szCs w:val="32"/>
          <w:lang w:eastAsia="zh-CN"/>
        </w:rPr>
        <w:t>）、</w:t>
      </w:r>
      <w:r>
        <w:rPr>
          <w:rFonts w:hint="eastAsia" w:ascii="仿宋" w:hAnsi="仿宋" w:eastAsia="仿宋" w:cs="宋体"/>
          <w:sz w:val="32"/>
          <w:szCs w:val="32"/>
          <w:lang w:val="en-US" w:eastAsia="zh-CN"/>
        </w:rPr>
        <w:t>制造业（9.87%）、居民服务、</w:t>
      </w:r>
      <w:r>
        <w:rPr>
          <w:rFonts w:hint="eastAsia" w:ascii="仿宋" w:hAnsi="仿宋" w:eastAsia="仿宋" w:cs="宋体"/>
          <w:sz w:val="32"/>
          <w:szCs w:val="32"/>
        </w:rPr>
        <w:t>修理和其他服务业（</w:t>
      </w:r>
      <w:r>
        <w:rPr>
          <w:rFonts w:hint="eastAsia" w:ascii="仿宋" w:hAnsi="仿宋" w:eastAsia="仿宋" w:cs="宋体"/>
          <w:sz w:val="32"/>
          <w:szCs w:val="32"/>
          <w:lang w:val="en-US" w:eastAsia="zh-CN"/>
        </w:rPr>
        <w:t>8.62</w:t>
      </w:r>
      <w:r>
        <w:rPr>
          <w:rFonts w:ascii="仿宋" w:hAnsi="仿宋" w:eastAsia="仿宋" w:cs="宋体"/>
          <w:sz w:val="32"/>
          <w:szCs w:val="32"/>
        </w:rPr>
        <w:t>%</w:t>
      </w:r>
      <w:r>
        <w:rPr>
          <w:rFonts w:hint="eastAsia" w:ascii="仿宋" w:hAnsi="仿宋" w:eastAsia="仿宋" w:cs="宋体"/>
          <w:sz w:val="32"/>
          <w:szCs w:val="32"/>
        </w:rPr>
        <w:t>）占比较大。</w:t>
      </w:r>
    </w:p>
    <w:p w14:paraId="579F32A5">
      <w:pPr>
        <w:jc w:val="left"/>
        <w:rPr>
          <w:rFonts w:ascii="微软雅黑" w:hAnsi="微软雅黑" w:eastAsia="微软雅黑" w:cs="微软雅黑"/>
          <w:szCs w:val="21"/>
        </w:rPr>
      </w:pPr>
      <w:r>
        <w:drawing>
          <wp:inline distT="0" distB="0" distL="114300" distR="114300">
            <wp:extent cx="5160645" cy="6857365"/>
            <wp:effectExtent l="0" t="0" r="1905" b="635"/>
            <wp:docPr id="37" name="图表 4" descr="7b0a202020202263686172745265734964223a2022343631303335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57EF7D0">
      <w:pPr>
        <w:jc w:val="center"/>
        <w:rPr>
          <w:rFonts w:ascii="黑体" w:hAnsi="黑体" w:eastAsia="黑体" w:cs="微软雅黑"/>
          <w:szCs w:val="21"/>
        </w:rPr>
      </w:pPr>
    </w:p>
    <w:p w14:paraId="520E3215">
      <w:pPr>
        <w:jc w:val="center"/>
        <w:rPr>
          <w:rFonts w:ascii="黑体" w:hAnsi="黑体" w:eastAsia="黑体" w:cs="微软雅黑"/>
          <w:szCs w:val="21"/>
        </w:rPr>
      </w:pPr>
      <w:r>
        <w:rPr>
          <w:rFonts w:hint="eastAsia" w:ascii="黑体" w:hAnsi="黑体" w:eastAsia="黑体" w:cs="微软雅黑"/>
          <w:szCs w:val="21"/>
        </w:rPr>
        <w:t>图1-</w:t>
      </w:r>
      <w:r>
        <w:rPr>
          <w:rFonts w:ascii="黑体" w:hAnsi="黑体" w:eastAsia="黑体" w:cs="微软雅黑"/>
          <w:szCs w:val="21"/>
        </w:rPr>
        <w:t>1</w:t>
      </w:r>
      <w:r>
        <w:rPr>
          <w:rFonts w:hint="eastAsia" w:ascii="黑体" w:hAnsi="黑体" w:eastAsia="黑体" w:cs="微软雅黑"/>
          <w:szCs w:val="21"/>
          <w:lang w:val="en-US" w:eastAsia="zh-CN"/>
        </w:rPr>
        <w:t>3</w:t>
      </w:r>
      <w:r>
        <w:rPr>
          <w:rFonts w:hint="eastAsia" w:ascii="黑体" w:hAnsi="黑体" w:eastAsia="黑体" w:cs="微软雅黑"/>
          <w:szCs w:val="21"/>
        </w:rPr>
        <w:t xml:space="preserve"> 202</w:t>
      </w:r>
      <w:r>
        <w:rPr>
          <w:rFonts w:hint="eastAsia" w:ascii="黑体" w:hAnsi="黑体" w:eastAsia="黑体" w:cs="微软雅黑"/>
          <w:szCs w:val="21"/>
          <w:lang w:val="en-US" w:eastAsia="zh-CN"/>
        </w:rPr>
        <w:t>5</w:t>
      </w:r>
      <w:r>
        <w:rPr>
          <w:rFonts w:hint="eastAsia" w:ascii="黑体" w:hAnsi="黑体" w:eastAsia="黑体" w:cs="微软雅黑"/>
          <w:szCs w:val="21"/>
        </w:rPr>
        <w:t>届毕业生就业行业流向</w:t>
      </w:r>
    </w:p>
    <w:p w14:paraId="69E5D525">
      <w:pPr>
        <w:jc w:val="center"/>
        <w:rPr>
          <w:rFonts w:ascii="黑体" w:hAnsi="黑体" w:eastAsia="黑体" w:cs="微软雅黑"/>
          <w:szCs w:val="21"/>
        </w:rPr>
      </w:pPr>
    </w:p>
    <w:p w14:paraId="3180A152">
      <w:pPr>
        <w:spacing w:line="360" w:lineRule="auto"/>
        <w:ind w:firstLine="321" w:firstLineChars="100"/>
        <w:outlineLvl w:val="0"/>
        <w:rPr>
          <w:rFonts w:ascii="楷体" w:hAnsi="楷体" w:eastAsia="楷体" w:cs="仿宋"/>
          <w:b/>
          <w:bCs/>
          <w:sz w:val="32"/>
          <w:szCs w:val="32"/>
        </w:rPr>
      </w:pPr>
      <w:bookmarkStart w:id="23" w:name="_Toc25650"/>
      <w:r>
        <w:rPr>
          <w:rFonts w:hint="eastAsia" w:ascii="楷体" w:hAnsi="楷体" w:eastAsia="楷体" w:cs="仿宋"/>
          <w:b/>
          <w:bCs/>
          <w:sz w:val="32"/>
          <w:szCs w:val="32"/>
        </w:rPr>
        <w:t>（四）就业职业流向</w:t>
      </w:r>
      <w:bookmarkEnd w:id="23"/>
    </w:p>
    <w:p w14:paraId="1AA3D99F">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毕业生分布在各行各业，就业职业主要为其他人员、教学人员、农林牧渔业技术人员、商业和服务人员、</w:t>
      </w:r>
      <w:r>
        <w:rPr>
          <w:rFonts w:hint="eastAsia" w:ascii="仿宋" w:hAnsi="仿宋" w:eastAsia="仿宋" w:cs="宋体"/>
          <w:sz w:val="32"/>
          <w:szCs w:val="32"/>
          <w:lang w:val="en-US" w:eastAsia="zh-CN"/>
        </w:rPr>
        <w:t>工程技术人员、</w:t>
      </w:r>
      <w:r>
        <w:rPr>
          <w:rFonts w:hint="eastAsia" w:ascii="仿宋" w:hAnsi="仿宋" w:eastAsia="仿宋" w:cs="宋体"/>
          <w:sz w:val="32"/>
          <w:szCs w:val="32"/>
        </w:rPr>
        <w:t>办事人员和有关人员等。</w:t>
      </w:r>
    </w:p>
    <w:p w14:paraId="69BE391E">
      <w:r>
        <w:drawing>
          <wp:inline distT="0" distB="0" distL="114300" distR="114300">
            <wp:extent cx="5274945" cy="6205855"/>
            <wp:effectExtent l="0" t="0" r="1905" b="4445"/>
            <wp:docPr id="105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07DF396"/>
    <w:p w14:paraId="03551E1C">
      <w:pPr>
        <w:jc w:val="center"/>
        <w:rPr>
          <w:rFonts w:ascii="黑体" w:hAnsi="黑体" w:eastAsia="黑体" w:cs="宋体"/>
          <w:b/>
          <w:bCs/>
          <w:sz w:val="32"/>
          <w:szCs w:val="32"/>
        </w:rPr>
      </w:pPr>
      <w:r>
        <w:rPr>
          <w:rFonts w:hint="eastAsia" w:ascii="黑体" w:hAnsi="黑体" w:eastAsia="黑体" w:cs="微软雅黑"/>
          <w:szCs w:val="21"/>
        </w:rPr>
        <w:t>图1-</w:t>
      </w:r>
      <w:r>
        <w:rPr>
          <w:rFonts w:ascii="黑体" w:hAnsi="黑体" w:eastAsia="黑体" w:cs="微软雅黑"/>
          <w:szCs w:val="21"/>
        </w:rPr>
        <w:t>1</w:t>
      </w:r>
      <w:r>
        <w:rPr>
          <w:rFonts w:hint="eastAsia" w:ascii="黑体" w:hAnsi="黑体" w:eastAsia="黑体" w:cs="微软雅黑"/>
          <w:szCs w:val="21"/>
          <w:lang w:val="en-US" w:eastAsia="zh-CN"/>
        </w:rPr>
        <w:t>4</w:t>
      </w:r>
      <w:r>
        <w:rPr>
          <w:rFonts w:hint="eastAsia" w:ascii="黑体" w:hAnsi="黑体" w:eastAsia="黑体" w:cs="微软雅黑"/>
          <w:szCs w:val="21"/>
        </w:rPr>
        <w:t xml:space="preserve"> 202</w:t>
      </w:r>
      <w:r>
        <w:rPr>
          <w:rFonts w:hint="eastAsia" w:ascii="黑体" w:hAnsi="黑体" w:eastAsia="黑体" w:cs="微软雅黑"/>
          <w:szCs w:val="21"/>
          <w:lang w:val="en-US" w:eastAsia="zh-CN"/>
        </w:rPr>
        <w:t>5</w:t>
      </w:r>
      <w:r>
        <w:rPr>
          <w:rFonts w:hint="eastAsia" w:ascii="黑体" w:hAnsi="黑体" w:eastAsia="黑体" w:cs="微软雅黑"/>
          <w:szCs w:val="21"/>
        </w:rPr>
        <w:t>届毕业生就业</w:t>
      </w:r>
      <w:r>
        <w:rPr>
          <w:rFonts w:hint="eastAsia" w:ascii="黑体" w:hAnsi="黑体" w:eastAsia="黑体" w:cs="微软雅黑"/>
          <w:szCs w:val="21"/>
          <w:lang w:val="en-US" w:eastAsia="zh-CN"/>
        </w:rPr>
        <w:t>职业</w:t>
      </w:r>
      <w:r>
        <w:rPr>
          <w:rFonts w:hint="eastAsia" w:ascii="黑体" w:hAnsi="黑体" w:eastAsia="黑体" w:cs="微软雅黑"/>
          <w:szCs w:val="21"/>
        </w:rPr>
        <w:t>流向</w:t>
      </w:r>
    </w:p>
    <w:p w14:paraId="42744C95">
      <w:pPr>
        <w:ind w:firstLine="640" w:firstLineChars="200"/>
        <w:jc w:val="left"/>
        <w:outlineLvl w:val="0"/>
        <w:rPr>
          <w:rFonts w:ascii="黑体" w:hAnsi="黑体" w:eastAsia="黑体" w:cs="宋体"/>
          <w:bCs/>
          <w:sz w:val="32"/>
          <w:szCs w:val="32"/>
        </w:rPr>
      </w:pPr>
      <w:bookmarkStart w:id="24" w:name="_Toc3493"/>
      <w:r>
        <w:rPr>
          <w:rFonts w:hint="eastAsia" w:ascii="黑体" w:hAnsi="黑体" w:eastAsia="黑体" w:cs="宋体"/>
          <w:bCs/>
          <w:sz w:val="32"/>
          <w:szCs w:val="32"/>
        </w:rPr>
        <w:t>四、升学</w:t>
      </w:r>
      <w:bookmarkEnd w:id="24"/>
    </w:p>
    <w:p w14:paraId="21253ACE">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202</w:t>
      </w:r>
      <w:r>
        <w:rPr>
          <w:rFonts w:hint="eastAsia" w:ascii="仿宋" w:hAnsi="仿宋" w:eastAsia="仿宋" w:cs="宋体"/>
          <w:sz w:val="32"/>
          <w:szCs w:val="32"/>
          <w:lang w:val="en-US" w:eastAsia="zh-CN"/>
        </w:rPr>
        <w:t>5</w:t>
      </w:r>
      <w:r>
        <w:rPr>
          <w:rFonts w:hint="eastAsia" w:ascii="仿宋" w:hAnsi="仿宋" w:eastAsia="仿宋" w:cs="宋体"/>
          <w:sz w:val="32"/>
          <w:szCs w:val="32"/>
        </w:rPr>
        <w:t>届毕业生升学2</w:t>
      </w:r>
      <w:r>
        <w:rPr>
          <w:rFonts w:hint="eastAsia" w:ascii="仿宋" w:hAnsi="仿宋" w:eastAsia="仿宋" w:cs="宋体"/>
          <w:sz w:val="32"/>
          <w:szCs w:val="32"/>
          <w:lang w:val="en-US" w:eastAsia="zh-CN"/>
        </w:rPr>
        <w:t>92</w:t>
      </w:r>
      <w:r>
        <w:rPr>
          <w:rFonts w:hint="eastAsia" w:ascii="仿宋" w:hAnsi="仿宋" w:eastAsia="仿宋" w:cs="宋体"/>
          <w:sz w:val="32"/>
          <w:szCs w:val="32"/>
        </w:rPr>
        <w:t>人，其中专科升普通本科2</w:t>
      </w:r>
      <w:r>
        <w:rPr>
          <w:rFonts w:hint="eastAsia" w:ascii="仿宋" w:hAnsi="仿宋" w:eastAsia="仿宋" w:cs="宋体"/>
          <w:sz w:val="32"/>
          <w:szCs w:val="32"/>
          <w:lang w:val="en-US" w:eastAsia="zh-CN"/>
        </w:rPr>
        <w:t>91</w:t>
      </w:r>
      <w:r>
        <w:rPr>
          <w:rFonts w:hint="eastAsia" w:ascii="仿宋" w:hAnsi="仿宋" w:eastAsia="仿宋" w:cs="宋体"/>
          <w:sz w:val="32"/>
          <w:szCs w:val="32"/>
        </w:rPr>
        <w:t>人，境外留学1人。升普通本科的学生主要流向为省内本科院校，其中辽东学院占1</w:t>
      </w:r>
      <w:r>
        <w:rPr>
          <w:rFonts w:hint="eastAsia" w:ascii="仿宋" w:hAnsi="仿宋" w:eastAsia="仿宋" w:cs="宋体"/>
          <w:sz w:val="32"/>
          <w:szCs w:val="32"/>
          <w:lang w:val="en-US" w:eastAsia="zh-CN"/>
        </w:rPr>
        <w:t>4.38</w:t>
      </w:r>
      <w:r>
        <w:rPr>
          <w:rFonts w:ascii="仿宋" w:hAnsi="仿宋" w:eastAsia="仿宋" w:cs="宋体"/>
          <w:sz w:val="32"/>
          <w:szCs w:val="32"/>
        </w:rPr>
        <w:t>%</w:t>
      </w:r>
      <w:r>
        <w:rPr>
          <w:rFonts w:hint="eastAsia" w:ascii="仿宋" w:hAnsi="仿宋" w:eastAsia="仿宋" w:cs="宋体"/>
          <w:sz w:val="32"/>
          <w:szCs w:val="32"/>
        </w:rPr>
        <w:t>，</w:t>
      </w:r>
      <w:r>
        <w:rPr>
          <w:rFonts w:hint="eastAsia" w:ascii="仿宋" w:hAnsi="仿宋" w:eastAsia="仿宋" w:cs="宋体"/>
          <w:sz w:val="32"/>
          <w:szCs w:val="32"/>
          <w:lang w:val="en-US" w:eastAsia="zh-CN"/>
        </w:rPr>
        <w:t>鞍山师范学院12.67%，朝阳师范学院9.93%，辽宁何氏医学院8.90%，</w:t>
      </w:r>
      <w:r>
        <w:rPr>
          <w:rFonts w:hint="eastAsia" w:ascii="仿宋" w:hAnsi="仿宋" w:eastAsia="仿宋" w:cs="宋体"/>
          <w:sz w:val="32"/>
          <w:szCs w:val="32"/>
        </w:rPr>
        <w:t>辽宁科技学院6</w:t>
      </w:r>
      <w:r>
        <w:rPr>
          <w:rFonts w:ascii="仿宋" w:hAnsi="仿宋" w:eastAsia="仿宋" w:cs="宋体"/>
          <w:sz w:val="32"/>
          <w:szCs w:val="32"/>
        </w:rPr>
        <w:t>.</w:t>
      </w:r>
      <w:r>
        <w:rPr>
          <w:rFonts w:hint="eastAsia" w:ascii="仿宋" w:hAnsi="仿宋" w:eastAsia="仿宋" w:cs="宋体"/>
          <w:sz w:val="32"/>
          <w:szCs w:val="32"/>
          <w:lang w:val="en-US" w:eastAsia="zh-CN"/>
        </w:rPr>
        <w:t>85</w:t>
      </w:r>
      <w:r>
        <w:rPr>
          <w:rFonts w:ascii="仿宋" w:hAnsi="仿宋" w:eastAsia="仿宋" w:cs="宋体"/>
          <w:sz w:val="32"/>
          <w:szCs w:val="32"/>
        </w:rPr>
        <w:t>%</w:t>
      </w:r>
      <w:r>
        <w:rPr>
          <w:rFonts w:hint="eastAsia" w:ascii="仿宋" w:hAnsi="仿宋" w:eastAsia="仿宋" w:cs="宋体"/>
          <w:sz w:val="32"/>
          <w:szCs w:val="32"/>
        </w:rPr>
        <w:t>。</w:t>
      </w:r>
    </w:p>
    <w:p w14:paraId="68DEF759">
      <w:pPr>
        <w:spacing w:line="360" w:lineRule="auto"/>
        <w:ind w:firstLine="561"/>
        <w:jc w:val="center"/>
        <w:rPr>
          <w:rFonts w:ascii="仿宋" w:hAnsi="仿宋" w:eastAsia="仿宋" w:cs="宋体"/>
          <w:sz w:val="32"/>
          <w:szCs w:val="32"/>
        </w:rPr>
      </w:pPr>
      <w:r>
        <w:drawing>
          <wp:inline distT="0" distB="0" distL="114300" distR="114300">
            <wp:extent cx="4935855" cy="3985895"/>
            <wp:effectExtent l="0" t="0" r="17145" b="14605"/>
            <wp:docPr id="3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DC9A4C8"/>
    <w:p w14:paraId="50EAD109">
      <w:pPr>
        <w:jc w:val="center"/>
        <w:rPr>
          <w:rFonts w:hint="default" w:ascii="黑体" w:hAnsi="黑体" w:eastAsia="黑体" w:cs="宋体"/>
          <w:b/>
          <w:bCs/>
          <w:sz w:val="32"/>
          <w:szCs w:val="32"/>
          <w:lang w:val="en-US" w:eastAsia="zh-CN"/>
        </w:rPr>
      </w:pPr>
      <w:r>
        <w:rPr>
          <w:rFonts w:hint="eastAsia" w:ascii="黑体" w:hAnsi="黑体" w:eastAsia="黑体" w:cs="微软雅黑"/>
          <w:szCs w:val="21"/>
        </w:rPr>
        <w:t>图1-</w:t>
      </w:r>
      <w:r>
        <w:rPr>
          <w:rFonts w:ascii="黑体" w:hAnsi="黑体" w:eastAsia="黑体" w:cs="微软雅黑"/>
          <w:szCs w:val="21"/>
        </w:rPr>
        <w:t>1</w:t>
      </w:r>
      <w:r>
        <w:rPr>
          <w:rFonts w:hint="eastAsia" w:ascii="黑体" w:hAnsi="黑体" w:eastAsia="黑体" w:cs="微软雅黑"/>
          <w:szCs w:val="21"/>
          <w:lang w:val="en-US" w:eastAsia="zh-CN"/>
        </w:rPr>
        <w:t>5</w:t>
      </w:r>
      <w:r>
        <w:rPr>
          <w:rFonts w:hint="eastAsia" w:ascii="黑体" w:hAnsi="黑体" w:eastAsia="黑体" w:cs="微软雅黑"/>
          <w:szCs w:val="21"/>
        </w:rPr>
        <w:t xml:space="preserve"> 202</w:t>
      </w:r>
      <w:r>
        <w:rPr>
          <w:rFonts w:hint="eastAsia" w:ascii="黑体" w:hAnsi="黑体" w:eastAsia="黑体" w:cs="微软雅黑"/>
          <w:szCs w:val="21"/>
          <w:lang w:val="en-US" w:eastAsia="zh-CN"/>
        </w:rPr>
        <w:t>5</w:t>
      </w:r>
      <w:r>
        <w:rPr>
          <w:rFonts w:hint="eastAsia" w:ascii="黑体" w:hAnsi="黑体" w:eastAsia="黑体" w:cs="微软雅黑"/>
          <w:szCs w:val="21"/>
        </w:rPr>
        <w:t>届毕业生</w:t>
      </w:r>
      <w:r>
        <w:rPr>
          <w:rFonts w:hint="eastAsia" w:ascii="黑体" w:hAnsi="黑体" w:eastAsia="黑体" w:cs="微软雅黑"/>
          <w:szCs w:val="21"/>
          <w:lang w:val="en-US" w:eastAsia="zh-CN"/>
        </w:rPr>
        <w:t>升学情况</w:t>
      </w:r>
    </w:p>
    <w:p w14:paraId="1E1BDDEA">
      <w:pPr>
        <w:spacing w:line="360" w:lineRule="auto"/>
        <w:ind w:firstLine="561"/>
        <w:jc w:val="center"/>
        <w:rPr>
          <w:rFonts w:ascii="宋体" w:hAnsi="宋体" w:eastAsia="宋体" w:cs="宋体"/>
          <w:sz w:val="24"/>
        </w:rPr>
      </w:pPr>
    </w:p>
    <w:p w14:paraId="5973D80C">
      <w:pPr>
        <w:spacing w:line="360" w:lineRule="auto"/>
        <w:ind w:firstLine="561"/>
        <w:jc w:val="left"/>
        <w:rPr>
          <w:rFonts w:ascii="仿宋" w:hAnsi="仿宋" w:eastAsia="仿宋" w:cs="宋体"/>
          <w:sz w:val="32"/>
          <w:szCs w:val="32"/>
          <w:highlight w:val="none"/>
        </w:rPr>
      </w:pPr>
      <w:r>
        <w:rPr>
          <w:rFonts w:hint="eastAsia" w:ascii="仿宋" w:hAnsi="仿宋" w:eastAsia="仿宋" w:cs="宋体"/>
          <w:sz w:val="32"/>
          <w:szCs w:val="32"/>
          <w:highlight w:val="none"/>
        </w:rPr>
        <w:t>我校对专升本的学生进行了跟踪调查，从以下几个方面的数据内容进行了分析：</w:t>
      </w:r>
    </w:p>
    <w:p w14:paraId="464CC820">
      <w:pPr>
        <w:jc w:val="center"/>
        <w:rPr>
          <w:rFonts w:ascii="微软雅黑" w:hAnsi="微软雅黑" w:eastAsia="微软雅黑" w:cs="微软雅黑"/>
          <w:sz w:val="28"/>
          <w:szCs w:val="21"/>
        </w:rPr>
      </w:pPr>
      <w:r>
        <w:drawing>
          <wp:inline distT="0" distB="0" distL="114300" distR="114300">
            <wp:extent cx="4498975" cy="3212465"/>
            <wp:effectExtent l="0" t="0" r="15875" b="6985"/>
            <wp:docPr id="1" name="图表 4"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929A8DC">
      <w:pPr>
        <w:jc w:val="center"/>
        <w:rPr>
          <w:rFonts w:hint="eastAsia" w:ascii="黑体" w:hAnsi="黑体" w:eastAsia="黑体" w:cs="微软雅黑"/>
          <w:szCs w:val="21"/>
        </w:rPr>
      </w:pPr>
      <w:r>
        <w:rPr>
          <w:rFonts w:hint="eastAsia" w:ascii="黑体" w:hAnsi="黑体" w:eastAsia="黑体" w:cs="微软雅黑"/>
          <w:szCs w:val="21"/>
        </w:rPr>
        <w:t>图1-</w:t>
      </w:r>
      <w:r>
        <w:rPr>
          <w:rFonts w:ascii="黑体" w:hAnsi="黑体" w:eastAsia="黑体" w:cs="微软雅黑"/>
          <w:szCs w:val="21"/>
        </w:rPr>
        <w:t>1</w:t>
      </w:r>
      <w:r>
        <w:rPr>
          <w:rFonts w:hint="eastAsia" w:ascii="黑体" w:hAnsi="黑体" w:eastAsia="黑体" w:cs="微软雅黑"/>
          <w:szCs w:val="21"/>
          <w:lang w:val="en-US" w:eastAsia="zh-CN"/>
        </w:rPr>
        <w:t>6</w:t>
      </w:r>
      <w:r>
        <w:rPr>
          <w:rFonts w:hint="eastAsia" w:ascii="黑体" w:hAnsi="黑体" w:eastAsia="黑体" w:cs="微软雅黑"/>
          <w:szCs w:val="21"/>
        </w:rPr>
        <w:t xml:space="preserve"> 学生了解专升本的渠道</w:t>
      </w:r>
    </w:p>
    <w:p w14:paraId="4B57CA2E">
      <w:pPr>
        <w:jc w:val="center"/>
        <w:rPr>
          <w:rFonts w:hint="eastAsia" w:ascii="黑体" w:hAnsi="黑体" w:eastAsia="黑体" w:cs="微软雅黑"/>
          <w:szCs w:val="21"/>
        </w:rPr>
      </w:pPr>
    </w:p>
    <w:p w14:paraId="0DD83CF1">
      <w:pPr>
        <w:jc w:val="center"/>
        <w:rPr>
          <w:rFonts w:ascii="微软雅黑" w:hAnsi="微软雅黑" w:eastAsia="微软雅黑" w:cs="微软雅黑"/>
          <w:sz w:val="28"/>
          <w:szCs w:val="21"/>
        </w:rPr>
      </w:pPr>
      <w:r>
        <w:drawing>
          <wp:inline distT="0" distB="0" distL="114300" distR="114300">
            <wp:extent cx="4321175" cy="3360420"/>
            <wp:effectExtent l="0" t="0" r="3175" b="11430"/>
            <wp:docPr id="6" name="图表 5"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D4834F3">
      <w:pPr>
        <w:jc w:val="center"/>
        <w:rPr>
          <w:rFonts w:ascii="微软雅黑" w:hAnsi="微软雅黑" w:eastAsia="微软雅黑" w:cs="微软雅黑"/>
          <w:sz w:val="28"/>
          <w:szCs w:val="21"/>
        </w:rPr>
      </w:pPr>
      <w:r>
        <w:rPr>
          <w:rFonts w:hint="eastAsia" w:ascii="黑体" w:hAnsi="黑体" w:eastAsia="黑体" w:cs="微软雅黑"/>
          <w:szCs w:val="21"/>
        </w:rPr>
        <w:t>图1-</w:t>
      </w:r>
      <w:r>
        <w:rPr>
          <w:rFonts w:hint="eastAsia" w:ascii="黑体" w:hAnsi="黑体" w:eastAsia="黑体" w:cs="微软雅黑"/>
          <w:szCs w:val="21"/>
          <w:lang w:val="en-US" w:eastAsia="zh-CN"/>
        </w:rPr>
        <w:t>17</w:t>
      </w:r>
      <w:r>
        <w:rPr>
          <w:rFonts w:hint="eastAsia" w:ascii="黑体" w:hAnsi="黑体" w:eastAsia="黑体" w:cs="微软雅黑"/>
          <w:szCs w:val="21"/>
        </w:rPr>
        <w:t xml:space="preserve"> 专升本考试中遇到的最大困难</w:t>
      </w:r>
    </w:p>
    <w:p w14:paraId="7A28C619">
      <w:pPr>
        <w:jc w:val="left"/>
        <w:rPr>
          <w:rFonts w:ascii="微软雅黑" w:hAnsi="微软雅黑" w:eastAsia="微软雅黑" w:cs="微软雅黑"/>
          <w:sz w:val="28"/>
          <w:szCs w:val="21"/>
        </w:rPr>
      </w:pPr>
      <w:r>
        <w:drawing>
          <wp:inline distT="0" distB="0" distL="114300" distR="114300">
            <wp:extent cx="4915535" cy="3323590"/>
            <wp:effectExtent l="0" t="0" r="18415" b="10160"/>
            <wp:docPr id="7" name="图表 6"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4E32DF0">
      <w:pPr>
        <w:jc w:val="center"/>
        <w:rPr>
          <w:rFonts w:hint="eastAsia" w:ascii="黑体" w:hAnsi="黑体" w:eastAsia="黑体" w:cs="微软雅黑"/>
          <w:szCs w:val="21"/>
        </w:rPr>
      </w:pPr>
      <w:r>
        <w:rPr>
          <w:rFonts w:hint="eastAsia" w:ascii="黑体" w:hAnsi="黑体" w:eastAsia="黑体" w:cs="微软雅黑"/>
          <w:szCs w:val="21"/>
        </w:rPr>
        <w:t>图1-</w:t>
      </w:r>
      <w:r>
        <w:rPr>
          <w:rFonts w:hint="eastAsia" w:ascii="黑体" w:hAnsi="黑体" w:eastAsia="黑体" w:cs="微软雅黑"/>
          <w:szCs w:val="21"/>
          <w:lang w:val="en-US" w:eastAsia="zh-CN"/>
        </w:rPr>
        <w:t>18</w:t>
      </w:r>
      <w:r>
        <w:rPr>
          <w:rFonts w:hint="eastAsia" w:ascii="黑体" w:hAnsi="黑体" w:eastAsia="黑体" w:cs="微软雅黑"/>
          <w:szCs w:val="21"/>
        </w:rPr>
        <w:t xml:space="preserve"> 选择升学的最主要的原因</w:t>
      </w:r>
    </w:p>
    <w:p w14:paraId="144216B0">
      <w:pPr>
        <w:jc w:val="center"/>
        <w:rPr>
          <w:rFonts w:hint="eastAsia" w:ascii="黑体" w:hAnsi="黑体" w:eastAsia="黑体" w:cs="微软雅黑"/>
          <w:szCs w:val="21"/>
        </w:rPr>
      </w:pPr>
    </w:p>
    <w:p w14:paraId="5B370FD6">
      <w:pPr>
        <w:jc w:val="center"/>
        <w:rPr>
          <w:rFonts w:hint="eastAsia" w:ascii="黑体" w:hAnsi="黑体" w:eastAsia="黑体" w:cs="微软雅黑"/>
          <w:szCs w:val="21"/>
        </w:rPr>
      </w:pPr>
    </w:p>
    <w:p w14:paraId="52553C52">
      <w:pPr>
        <w:jc w:val="left"/>
        <w:rPr>
          <w:rFonts w:ascii="微软雅黑" w:hAnsi="微软雅黑" w:eastAsia="微软雅黑" w:cs="微软雅黑"/>
          <w:sz w:val="28"/>
          <w:szCs w:val="21"/>
        </w:rPr>
      </w:pPr>
      <w:r>
        <w:drawing>
          <wp:inline distT="0" distB="0" distL="114300" distR="114300">
            <wp:extent cx="4588510" cy="3349625"/>
            <wp:effectExtent l="0" t="0" r="2540" b="3175"/>
            <wp:docPr id="8" name="图表 7"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bookmarkStart w:id="58" w:name="_GoBack"/>
      <w:bookmarkEnd w:id="58"/>
    </w:p>
    <w:p w14:paraId="79309115">
      <w:pPr>
        <w:jc w:val="center"/>
        <w:rPr>
          <w:rFonts w:hint="eastAsia" w:ascii="黑体" w:hAnsi="黑体" w:eastAsia="黑体" w:cs="微软雅黑"/>
          <w:szCs w:val="21"/>
        </w:rPr>
      </w:pPr>
      <w:r>
        <w:rPr>
          <w:rFonts w:hint="eastAsia" w:ascii="黑体" w:hAnsi="黑体" w:eastAsia="黑体" w:cs="微软雅黑"/>
          <w:szCs w:val="21"/>
        </w:rPr>
        <w:t>图1-</w:t>
      </w:r>
      <w:r>
        <w:rPr>
          <w:rFonts w:hint="eastAsia" w:ascii="黑体" w:hAnsi="黑体" w:eastAsia="黑体" w:cs="微软雅黑"/>
          <w:szCs w:val="21"/>
          <w:lang w:val="en-US" w:eastAsia="zh-CN"/>
        </w:rPr>
        <w:t>19</w:t>
      </w:r>
      <w:r>
        <w:rPr>
          <w:rFonts w:hint="eastAsia" w:ascii="黑体" w:hAnsi="黑体" w:eastAsia="黑体" w:cs="微软雅黑"/>
          <w:szCs w:val="21"/>
        </w:rPr>
        <w:t>就读专业与升学前所读专业一致性</w:t>
      </w:r>
    </w:p>
    <w:p w14:paraId="6F6E31CD">
      <w:pPr>
        <w:jc w:val="left"/>
        <w:rPr>
          <w:rFonts w:ascii="微软雅黑" w:hAnsi="微软雅黑" w:eastAsia="微软雅黑" w:cs="微软雅黑"/>
          <w:sz w:val="28"/>
          <w:szCs w:val="21"/>
        </w:rPr>
      </w:pPr>
    </w:p>
    <w:p w14:paraId="2DA3121B">
      <w:pPr>
        <w:jc w:val="left"/>
        <w:rPr>
          <w:rFonts w:ascii="微软雅黑" w:hAnsi="微软雅黑" w:eastAsia="微软雅黑" w:cs="微软雅黑"/>
          <w:sz w:val="28"/>
          <w:szCs w:val="21"/>
        </w:rPr>
      </w:pPr>
    </w:p>
    <w:p w14:paraId="2BCF3C44">
      <w:pPr>
        <w:jc w:val="left"/>
        <w:rPr>
          <w:rFonts w:ascii="微软雅黑" w:hAnsi="微软雅黑" w:eastAsia="微软雅黑" w:cs="微软雅黑"/>
          <w:sz w:val="28"/>
          <w:szCs w:val="21"/>
        </w:rPr>
      </w:pPr>
    </w:p>
    <w:p w14:paraId="67964E09">
      <w:pPr>
        <w:jc w:val="left"/>
        <w:rPr>
          <w:rFonts w:ascii="微软雅黑" w:hAnsi="微软雅黑" w:eastAsia="微软雅黑" w:cs="微软雅黑"/>
          <w:sz w:val="28"/>
          <w:szCs w:val="21"/>
        </w:rPr>
      </w:pPr>
      <w:r>
        <w:drawing>
          <wp:inline distT="0" distB="0" distL="114300" distR="114300">
            <wp:extent cx="5361940" cy="3535680"/>
            <wp:effectExtent l="0" t="0" r="10160" b="7620"/>
            <wp:docPr id="9" name="图表 8"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9A2A2B5">
      <w:pPr>
        <w:jc w:val="center"/>
        <w:rPr>
          <w:rFonts w:ascii="微软雅黑" w:hAnsi="微软雅黑" w:eastAsia="微软雅黑" w:cs="微软雅黑"/>
          <w:sz w:val="28"/>
          <w:szCs w:val="21"/>
        </w:rPr>
      </w:pPr>
      <w:r>
        <w:rPr>
          <w:rFonts w:hint="eastAsia" w:ascii="黑体" w:hAnsi="黑体" w:eastAsia="黑体" w:cs="微软雅黑"/>
          <w:szCs w:val="21"/>
        </w:rPr>
        <w:t>图1-</w:t>
      </w:r>
      <w:r>
        <w:rPr>
          <w:rFonts w:ascii="黑体" w:hAnsi="黑体" w:eastAsia="黑体" w:cs="微软雅黑"/>
          <w:szCs w:val="21"/>
        </w:rPr>
        <w:t>2</w:t>
      </w:r>
      <w:r>
        <w:rPr>
          <w:rFonts w:hint="eastAsia" w:ascii="黑体" w:hAnsi="黑体" w:eastAsia="黑体" w:cs="微软雅黑"/>
          <w:szCs w:val="21"/>
          <w:lang w:val="en-US" w:eastAsia="zh-CN"/>
        </w:rPr>
        <w:t>0</w:t>
      </w:r>
      <w:r>
        <w:rPr>
          <w:rFonts w:hint="eastAsia" w:ascii="黑体" w:hAnsi="黑体" w:eastAsia="黑体" w:cs="微软雅黑"/>
          <w:szCs w:val="21"/>
        </w:rPr>
        <w:t xml:space="preserve"> 专升本之前有更好的工作机会</w:t>
      </w:r>
    </w:p>
    <w:p w14:paraId="510D0E2C">
      <w:pPr>
        <w:jc w:val="left"/>
        <w:rPr>
          <w:rFonts w:ascii="微软雅黑" w:hAnsi="微软雅黑" w:eastAsia="微软雅黑" w:cs="微软雅黑"/>
          <w:sz w:val="28"/>
          <w:szCs w:val="21"/>
        </w:rPr>
      </w:pPr>
    </w:p>
    <w:p w14:paraId="232C22BF">
      <w:pPr>
        <w:jc w:val="left"/>
        <w:rPr>
          <w:rFonts w:ascii="微软雅黑" w:hAnsi="微软雅黑" w:eastAsia="微软雅黑" w:cs="微软雅黑"/>
          <w:sz w:val="28"/>
          <w:szCs w:val="21"/>
        </w:rPr>
      </w:pPr>
    </w:p>
    <w:p w14:paraId="76A74525">
      <w:pPr>
        <w:jc w:val="left"/>
        <w:rPr>
          <w:rFonts w:ascii="微软雅黑" w:hAnsi="微软雅黑" w:eastAsia="微软雅黑" w:cs="微软雅黑"/>
          <w:sz w:val="28"/>
          <w:szCs w:val="21"/>
        </w:rPr>
      </w:pPr>
    </w:p>
    <w:p w14:paraId="7FC8AE8F">
      <w:pPr>
        <w:jc w:val="left"/>
        <w:rPr>
          <w:rFonts w:ascii="微软雅黑" w:hAnsi="微软雅黑" w:eastAsia="微软雅黑" w:cs="微软雅黑"/>
          <w:sz w:val="28"/>
          <w:szCs w:val="21"/>
        </w:rPr>
      </w:pPr>
    </w:p>
    <w:p w14:paraId="4DAF4D73">
      <w:pPr>
        <w:jc w:val="left"/>
        <w:rPr>
          <w:rFonts w:ascii="微软雅黑" w:hAnsi="微软雅黑" w:eastAsia="微软雅黑" w:cs="微软雅黑"/>
          <w:sz w:val="28"/>
          <w:szCs w:val="21"/>
        </w:rPr>
      </w:pPr>
    </w:p>
    <w:p w14:paraId="783C5808">
      <w:pPr>
        <w:jc w:val="left"/>
        <w:rPr>
          <w:rFonts w:ascii="微软雅黑" w:hAnsi="微软雅黑" w:eastAsia="微软雅黑" w:cs="微软雅黑"/>
          <w:sz w:val="28"/>
          <w:szCs w:val="21"/>
        </w:rPr>
      </w:pPr>
    </w:p>
    <w:p w14:paraId="7F536F69">
      <w:pPr>
        <w:jc w:val="left"/>
        <w:rPr>
          <w:rFonts w:ascii="微软雅黑" w:hAnsi="微软雅黑" w:eastAsia="微软雅黑" w:cs="微软雅黑"/>
          <w:sz w:val="28"/>
          <w:szCs w:val="21"/>
        </w:rPr>
      </w:pPr>
    </w:p>
    <w:p w14:paraId="468F84AE">
      <w:pPr>
        <w:jc w:val="left"/>
        <w:rPr>
          <w:rFonts w:ascii="微软雅黑" w:hAnsi="微软雅黑" w:eastAsia="微软雅黑" w:cs="微软雅黑"/>
          <w:sz w:val="28"/>
          <w:szCs w:val="21"/>
        </w:rPr>
      </w:pPr>
    </w:p>
    <w:p w14:paraId="1DDF2709">
      <w:pPr>
        <w:jc w:val="left"/>
        <w:rPr>
          <w:rFonts w:ascii="微软雅黑" w:hAnsi="微软雅黑" w:eastAsia="微软雅黑" w:cs="微软雅黑"/>
          <w:sz w:val="28"/>
          <w:szCs w:val="21"/>
        </w:rPr>
      </w:pPr>
    </w:p>
    <w:p w14:paraId="54E2258F">
      <w:pPr>
        <w:jc w:val="left"/>
        <w:rPr>
          <w:rFonts w:ascii="微软雅黑" w:hAnsi="微软雅黑" w:eastAsia="微软雅黑" w:cs="微软雅黑"/>
          <w:sz w:val="28"/>
          <w:szCs w:val="21"/>
        </w:rPr>
      </w:pPr>
    </w:p>
    <w:p w14:paraId="4A6D59CF">
      <w:pPr>
        <w:jc w:val="left"/>
        <w:rPr>
          <w:rFonts w:ascii="微软雅黑" w:hAnsi="微软雅黑" w:eastAsia="微软雅黑" w:cs="微软雅黑"/>
          <w:sz w:val="28"/>
          <w:szCs w:val="21"/>
        </w:rPr>
      </w:pPr>
    </w:p>
    <w:p w14:paraId="27DB9251">
      <w:pPr>
        <w:jc w:val="left"/>
        <w:rPr>
          <w:rFonts w:ascii="微软雅黑" w:hAnsi="微软雅黑" w:eastAsia="微软雅黑" w:cs="微软雅黑"/>
          <w:sz w:val="28"/>
          <w:szCs w:val="21"/>
        </w:rPr>
      </w:pPr>
    </w:p>
    <w:p w14:paraId="11953134">
      <w:pPr>
        <w:spacing w:line="480" w:lineRule="auto"/>
        <w:jc w:val="center"/>
        <w:outlineLvl w:val="0"/>
        <w:rPr>
          <w:rFonts w:cs="宋体" w:asciiTheme="majorEastAsia" w:hAnsiTheme="majorEastAsia" w:eastAsiaTheme="majorEastAsia"/>
          <w:b/>
          <w:bCs/>
          <w:sz w:val="44"/>
          <w:szCs w:val="44"/>
          <w:highlight w:val="none"/>
        </w:rPr>
      </w:pPr>
      <w:bookmarkStart w:id="25" w:name="_Toc9383"/>
      <w:r>
        <w:rPr>
          <w:rFonts w:hint="eastAsia" w:cs="宋体" w:asciiTheme="majorEastAsia" w:hAnsiTheme="majorEastAsia" w:eastAsiaTheme="majorEastAsia"/>
          <w:b/>
          <w:bCs/>
          <w:sz w:val="44"/>
          <w:szCs w:val="44"/>
          <w:highlight w:val="none"/>
        </w:rPr>
        <w:t>第二篇  就业工作特色</w:t>
      </w:r>
      <w:bookmarkEnd w:id="25"/>
    </w:p>
    <w:p w14:paraId="7CEFEA64">
      <w:pPr>
        <w:spacing w:line="360" w:lineRule="auto"/>
        <w:ind w:firstLine="561"/>
        <w:jc w:val="left"/>
        <w:rPr>
          <w:rFonts w:hint="eastAsia" w:ascii="黑体" w:hAnsi="黑体" w:eastAsia="黑体" w:cs="宋体"/>
          <w:bCs/>
          <w:sz w:val="32"/>
          <w:szCs w:val="32"/>
          <w:highlight w:val="none"/>
        </w:rPr>
      </w:pPr>
    </w:p>
    <w:p w14:paraId="09DE5D00">
      <w:pPr>
        <w:spacing w:line="360" w:lineRule="auto"/>
        <w:ind w:firstLine="561"/>
        <w:jc w:val="left"/>
        <w:rPr>
          <w:rFonts w:hint="eastAsia" w:ascii="黑体" w:hAnsi="黑体" w:eastAsia="黑体" w:cs="宋体"/>
          <w:bCs/>
          <w:sz w:val="32"/>
          <w:szCs w:val="32"/>
          <w:highlight w:val="none"/>
        </w:rPr>
      </w:pPr>
      <w:r>
        <w:rPr>
          <w:rFonts w:hint="eastAsia" w:ascii="黑体" w:hAnsi="黑体" w:eastAsia="黑体" w:cs="宋体"/>
          <w:bCs/>
          <w:sz w:val="32"/>
          <w:szCs w:val="32"/>
          <w:highlight w:val="none"/>
        </w:rPr>
        <w:t>一、 以制度做保障，促进毕业生就业创业工作</w:t>
      </w:r>
    </w:p>
    <w:p w14:paraId="76027119">
      <w:pPr>
        <w:spacing w:line="360" w:lineRule="auto"/>
        <w:ind w:firstLine="561"/>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1.坚持就业工作校长月调度会制度，调查了解就业工作开展情况，解决就业工作中存在的问题。</w:t>
      </w:r>
    </w:p>
    <w:p w14:paraId="1A41F1EF">
      <w:pPr>
        <w:spacing w:line="360" w:lineRule="auto"/>
        <w:ind w:firstLine="561"/>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2.坚持就业工作制度化、量化服务体系建设，推进就业工作有序顺利开展。</w:t>
      </w:r>
    </w:p>
    <w:p w14:paraId="729C3B6D">
      <w:pPr>
        <w:spacing w:line="360" w:lineRule="auto"/>
        <w:ind w:firstLine="561"/>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3.构建“覆盖全校、贯穿全程、精准高效 ”的毕业生就业创业服务新格局。充分发挥阜新高</w:t>
      </w:r>
      <w:r>
        <w:rPr>
          <w:rFonts w:hint="eastAsia" w:ascii="仿宋" w:hAnsi="仿宋" w:eastAsia="仿宋" w:cs="宋体"/>
          <w:sz w:val="32"/>
          <w:szCs w:val="32"/>
          <w:highlight w:val="none"/>
          <w:lang w:val="en-US" w:eastAsia="zh-CN"/>
        </w:rPr>
        <w:t>专</w:t>
      </w:r>
      <w:r>
        <w:rPr>
          <w:rFonts w:hint="eastAsia" w:ascii="仿宋" w:hAnsi="仿宋" w:eastAsia="仿宋" w:cs="宋体"/>
          <w:sz w:val="32"/>
          <w:szCs w:val="32"/>
          <w:highlight w:val="none"/>
        </w:rPr>
        <w:t>“舒心就业 ”就业创业指导服务站效能，为学生提供一站式、专业化就业创业集成服务。</w:t>
      </w:r>
    </w:p>
    <w:p w14:paraId="7C659719">
      <w:pPr>
        <w:spacing w:line="360" w:lineRule="auto"/>
        <w:ind w:firstLine="561"/>
        <w:jc w:val="left"/>
        <w:rPr>
          <w:rFonts w:hint="eastAsia" w:ascii="黑体" w:hAnsi="黑体" w:eastAsia="黑体" w:cs="宋体"/>
          <w:bCs/>
          <w:sz w:val="32"/>
          <w:szCs w:val="32"/>
          <w:highlight w:val="none"/>
        </w:rPr>
      </w:pPr>
      <w:r>
        <w:rPr>
          <w:rFonts w:hint="eastAsia" w:ascii="黑体" w:hAnsi="黑体" w:eastAsia="黑体" w:cs="宋体"/>
          <w:bCs/>
          <w:sz w:val="32"/>
          <w:szCs w:val="32"/>
          <w:highlight w:val="none"/>
        </w:rPr>
        <w:t>二、 以活动为载体，推动就业创业工作</w:t>
      </w:r>
    </w:p>
    <w:p w14:paraId="6CD698F2">
      <w:pPr>
        <w:spacing w:line="360" w:lineRule="auto"/>
        <w:ind w:firstLine="561"/>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1．从课程教学上实施“职业规划、就业创业指导、实习中就业指导、毕业期就业指导 ”全程化教育引导。</w:t>
      </w:r>
    </w:p>
    <w:p w14:paraId="00E15147">
      <w:pPr>
        <w:spacing w:line="360" w:lineRule="auto"/>
        <w:ind w:firstLine="561"/>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2. 以赛促就，帮助毕业生找准职业定位。学生参加辽宁省第二届大学生职业规划大赛决赛，就业赛道荣获银奖 1 名，铜奖 1 名，优秀奖 4 名；成长赛道荣获铜奖2 名，优秀奖 2名。</w:t>
      </w:r>
    </w:p>
    <w:p w14:paraId="79C68EF8">
      <w:pPr>
        <w:spacing w:line="360" w:lineRule="auto"/>
        <w:ind w:firstLine="561"/>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3.邀请阜新市人社局“ 高校毕业生就业创业政策宣讲团 ”进行就业创业政策的详细解读。帮助我校毕业生了解政策、熟悉政策、用足用好政策，更好助力毕业生就业创业。</w:t>
      </w:r>
    </w:p>
    <w:p w14:paraId="503C39D4">
      <w:pPr>
        <w:spacing w:line="360" w:lineRule="auto"/>
        <w:ind w:firstLine="561"/>
        <w:jc w:val="left"/>
        <w:rPr>
          <w:rFonts w:hint="eastAsia" w:ascii="仿宋" w:hAnsi="仿宋" w:eastAsia="仿宋" w:cs="宋体"/>
          <w:sz w:val="32"/>
          <w:szCs w:val="32"/>
          <w:highlight w:val="none"/>
        </w:rPr>
      </w:pPr>
      <w:r>
        <w:rPr>
          <w:rFonts w:hint="eastAsia" w:ascii="仿宋" w:hAnsi="仿宋" w:eastAsia="仿宋" w:cs="宋体"/>
          <w:sz w:val="32"/>
          <w:szCs w:val="32"/>
          <w:highlight w:val="none"/>
          <w:lang w:val="en-US" w:eastAsia="zh-CN"/>
        </w:rPr>
        <w:t>4.</w:t>
      </w:r>
      <w:r>
        <w:rPr>
          <w:rFonts w:hint="eastAsia" w:ascii="仿宋" w:hAnsi="仿宋" w:eastAsia="仿宋" w:cs="宋体"/>
          <w:sz w:val="32"/>
          <w:szCs w:val="32"/>
          <w:highlight w:val="none"/>
        </w:rPr>
        <w:t>举办学校第十一届大学生创新创业大赛。择优推荐创新大赛项目参加“辽宁省大学生创新大赛（2025）网评复赛 ”。培养学生创新精神和实践能力，加强学生的创新意识、创</w:t>
      </w:r>
      <w:r>
        <w:rPr>
          <w:rFonts w:hint="eastAsia" w:ascii="仿宋" w:hAnsi="仿宋" w:eastAsia="仿宋" w:cs="宋体"/>
          <w:sz w:val="32"/>
          <w:szCs w:val="32"/>
          <w:highlight w:val="none"/>
          <w:lang w:val="en-US" w:eastAsia="zh-CN"/>
        </w:rPr>
        <w:t>意</w:t>
      </w:r>
      <w:r>
        <w:rPr>
          <w:rFonts w:hint="eastAsia" w:ascii="仿宋" w:hAnsi="仿宋" w:eastAsia="仿宋" w:cs="宋体"/>
          <w:sz w:val="32"/>
          <w:szCs w:val="32"/>
          <w:highlight w:val="none"/>
        </w:rPr>
        <w:t>思维和创业能力。</w:t>
      </w:r>
    </w:p>
    <w:p w14:paraId="285DF643">
      <w:pPr>
        <w:spacing w:line="360" w:lineRule="auto"/>
        <w:ind w:firstLine="561"/>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5. 组织开展“凝聚团队力量 挑战无限可能 ”大学生职业素质拓展训练。加强职业能力培养，提升学生职业综合素质。</w:t>
      </w:r>
    </w:p>
    <w:p w14:paraId="2D219562">
      <w:pPr>
        <w:spacing w:line="360" w:lineRule="auto"/>
        <w:ind w:firstLine="561"/>
        <w:jc w:val="left"/>
        <w:rPr>
          <w:rFonts w:hint="eastAsia" w:ascii="黑体" w:hAnsi="黑体" w:eastAsia="黑体" w:cs="宋体"/>
          <w:bCs/>
          <w:sz w:val="32"/>
          <w:szCs w:val="32"/>
          <w:highlight w:val="none"/>
        </w:rPr>
      </w:pPr>
      <w:r>
        <w:rPr>
          <w:rFonts w:hint="eastAsia" w:ascii="仿宋" w:hAnsi="仿宋" w:eastAsia="仿宋" w:cs="宋体"/>
          <w:sz w:val="32"/>
          <w:szCs w:val="32"/>
          <w:highlight w:val="none"/>
        </w:rPr>
        <w:t>6．邀请心理教育咨询中心郭淑芬教授作了主题为“ 掌 控自我，驾驭未来：AI 时代下的就业心理调试与成长策略 ”专题讲座。提升毕业生应对人工智能时代就业挑战的心理韧 性与职业规划能力。</w:t>
      </w:r>
    </w:p>
    <w:p w14:paraId="43F13B67">
      <w:pPr>
        <w:spacing w:line="360" w:lineRule="auto"/>
        <w:ind w:firstLine="561"/>
        <w:jc w:val="left"/>
        <w:rPr>
          <w:rFonts w:hint="eastAsia" w:ascii="黑体" w:hAnsi="黑体" w:eastAsia="黑体" w:cs="宋体"/>
          <w:bCs/>
          <w:sz w:val="32"/>
          <w:szCs w:val="32"/>
          <w:highlight w:val="none"/>
        </w:rPr>
      </w:pPr>
      <w:r>
        <w:rPr>
          <w:rFonts w:hint="eastAsia" w:ascii="仿宋" w:hAnsi="仿宋" w:eastAsia="仿宋" w:cs="宋体"/>
          <w:sz w:val="32"/>
          <w:szCs w:val="32"/>
          <w:highlight w:val="none"/>
        </w:rPr>
        <w:t>7.举办“ 筑梦青春志在四方 规划启航指引未来 ”阜新高专第三届大学生职业规划大赛，引导学生树立正确的职业观、就业观，科学合理的规划自 己的学业与职业发展。</w:t>
      </w:r>
    </w:p>
    <w:p w14:paraId="4FB29F59">
      <w:pPr>
        <w:numPr>
          <w:ilvl w:val="0"/>
          <w:numId w:val="0"/>
        </w:numPr>
        <w:spacing w:line="360" w:lineRule="auto"/>
        <w:ind w:firstLine="320" w:firstLineChars="100"/>
        <w:jc w:val="left"/>
        <w:rPr>
          <w:rFonts w:hint="eastAsia" w:ascii="黑体" w:hAnsi="黑体" w:eastAsia="黑体" w:cs="宋体"/>
          <w:bCs/>
          <w:sz w:val="32"/>
          <w:szCs w:val="32"/>
          <w:highlight w:val="none"/>
        </w:rPr>
      </w:pPr>
      <w:r>
        <w:rPr>
          <w:rFonts w:hint="eastAsia" w:ascii="黑体" w:hAnsi="黑体" w:eastAsia="黑体" w:cs="宋体"/>
          <w:bCs/>
          <w:sz w:val="32"/>
          <w:szCs w:val="32"/>
          <w:highlight w:val="none"/>
        </w:rPr>
        <w:t>三、 以多渠道开发就业岗位为基本，实现就业岗位精准对接</w:t>
      </w:r>
    </w:p>
    <w:p w14:paraId="2E551401">
      <w:pPr>
        <w:spacing w:line="360" w:lineRule="auto"/>
        <w:ind w:firstLine="561"/>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1.充分发挥就业服务平台信息化效能</w:t>
      </w:r>
    </w:p>
    <w:p w14:paraId="264E8E12">
      <w:pPr>
        <w:spacing w:line="360" w:lineRule="auto"/>
        <w:ind w:firstLine="561"/>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①通过“阜新高专就业信息网 ”，2025 年上半年吸纳高质用人单位 172 家，发布优质就业岗位需求 6724 个，持续为毕业生就业扩充岗位信息。</w:t>
      </w:r>
    </w:p>
    <w:p w14:paraId="66C769FE">
      <w:pPr>
        <w:spacing w:line="360" w:lineRule="auto"/>
        <w:ind w:firstLine="561"/>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②通过“ 阜新高专就业信息网 ”和“ 阜新高专就业创业服务平台 ”微信公众号上发布国家、省市各级各类招聘信息1000 多条，为毕业生求职就业提供市场资源。</w:t>
      </w:r>
    </w:p>
    <w:p w14:paraId="0AC37E83">
      <w:pPr>
        <w:spacing w:line="360" w:lineRule="auto"/>
        <w:ind w:firstLine="561"/>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③利用“ 阜新高专就业信息网 ”和“ 阜新高专就业创业服务平台 ”微信公众号，发布毕业生就业创业政策、应届毕业生身份识别、防范求职就业风险等，为毕业生求职就业保驾护航。</w:t>
      </w:r>
    </w:p>
    <w:p w14:paraId="34422B35">
      <w:pPr>
        <w:spacing w:line="360" w:lineRule="auto"/>
        <w:ind w:firstLine="561"/>
        <w:jc w:val="left"/>
        <w:rPr>
          <w:rFonts w:hint="eastAsia" w:ascii="仿宋" w:hAnsi="仿宋" w:eastAsia="仿宋" w:cs="宋体"/>
          <w:sz w:val="32"/>
          <w:szCs w:val="32"/>
          <w:highlight w:val="none"/>
          <w:lang w:val="en-US" w:eastAsia="zh-CN"/>
        </w:rPr>
      </w:pPr>
      <w:r>
        <w:rPr>
          <w:rFonts w:hint="eastAsia" w:ascii="仿宋" w:hAnsi="仿宋" w:eastAsia="仿宋" w:cs="宋体"/>
          <w:sz w:val="32"/>
          <w:szCs w:val="32"/>
          <w:highlight w:val="none"/>
        </w:rPr>
        <w:t>2．举办“百日冲刺  兴辽有我 ”2025 年春季校园双选会，活动设 1 个主会场及6 个分会场。汇聚了来自全国不同区域、行业的 108 家优质用人单位 ，其中辽宁省内企业92 家 ，阜新市内企业 39 家。参会企业累计提供 351 个招聘职</w:t>
      </w:r>
      <w:r>
        <w:rPr>
          <w:rFonts w:hint="eastAsia" w:ascii="仿宋" w:hAnsi="仿宋" w:eastAsia="仿宋" w:cs="宋体"/>
          <w:sz w:val="32"/>
          <w:szCs w:val="32"/>
          <w:highlight w:val="none"/>
          <w:lang w:val="en-US" w:eastAsia="zh-CN"/>
        </w:rPr>
        <w:t>位。</w:t>
      </w:r>
    </w:p>
    <w:p w14:paraId="6332FE2C">
      <w:pPr>
        <w:numPr>
          <w:ilvl w:val="0"/>
          <w:numId w:val="0"/>
        </w:numPr>
        <w:spacing w:line="360" w:lineRule="auto"/>
        <w:ind w:firstLine="640" w:firstLineChars="200"/>
        <w:jc w:val="left"/>
        <w:rPr>
          <w:rFonts w:hint="eastAsia" w:ascii="黑体" w:hAnsi="黑体" w:eastAsia="黑体" w:cs="宋体"/>
          <w:bCs/>
          <w:sz w:val="32"/>
          <w:szCs w:val="32"/>
          <w:highlight w:val="none"/>
        </w:rPr>
      </w:pPr>
      <w:r>
        <w:rPr>
          <w:rFonts w:hint="eastAsia" w:ascii="黑体" w:hAnsi="黑体" w:eastAsia="黑体" w:cs="宋体"/>
          <w:bCs/>
          <w:sz w:val="32"/>
          <w:szCs w:val="32"/>
          <w:highlight w:val="none"/>
        </w:rPr>
        <w:t>四、 以实现贫困家庭毕业生兜底就业为目标，加强困难群体及就业有困难毕业生就业帮扶援助</w:t>
      </w:r>
    </w:p>
    <w:p w14:paraId="6CAA255A">
      <w:pPr>
        <w:spacing w:line="360" w:lineRule="auto"/>
        <w:ind w:firstLine="561"/>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1.调查摸底贫困家庭毕业生的基本情况，按照“一人一档 ”“ 一人一策 ”， 采取校系两级领导、辅导员、专业教师“一对一结对子帮扶 ”的工作方式，有针对性的做好贫困家庭毕业生就业帮扶、指导、跟踪服务等各项工作。</w:t>
      </w:r>
    </w:p>
    <w:p w14:paraId="331A18E4">
      <w:pPr>
        <w:spacing w:line="360" w:lineRule="auto"/>
        <w:ind w:firstLine="561"/>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2.建立《2025 届贫困家庭毕业生跟踪台帐》， 实施“阜新高专2025 届毕业生就业数据月报制 ”，每月25 日上报2025届贫困家庭大专毕业生的就业情况，随时掌握他们的就业动态，发现问题及时帮扶解决。</w:t>
      </w:r>
    </w:p>
    <w:p w14:paraId="558E1F11">
      <w:pPr>
        <w:numPr>
          <w:ilvl w:val="0"/>
          <w:numId w:val="0"/>
        </w:numPr>
        <w:spacing w:line="360" w:lineRule="auto"/>
        <w:ind w:firstLine="640" w:firstLineChars="200"/>
        <w:jc w:val="left"/>
        <w:rPr>
          <w:rFonts w:hint="eastAsia" w:ascii="黑体" w:hAnsi="黑体" w:eastAsia="黑体" w:cs="宋体"/>
          <w:bCs/>
          <w:sz w:val="32"/>
          <w:szCs w:val="32"/>
          <w:highlight w:val="none"/>
        </w:rPr>
      </w:pPr>
      <w:r>
        <w:rPr>
          <w:rFonts w:hint="eastAsia" w:ascii="仿宋" w:hAnsi="仿宋" w:eastAsia="仿宋" w:cs="宋体"/>
          <w:sz w:val="32"/>
          <w:szCs w:val="32"/>
          <w:highlight w:val="none"/>
        </w:rPr>
        <w:t>3.根据阜新市人力资源和社会保障局、阜新市财政局《关于做好我市困难家庭普通高校、 中职（含技工院校）毕业生求职创业补贴发放工作的通知》 （阜人社〔2021〕55 号）文件精神，组织并指导 2026 届符合条件的毕业生进行网上申报求职创业补贴，严把校级申报材料审核关，帮助 192 名求职创业补贴。</w:t>
      </w:r>
    </w:p>
    <w:p w14:paraId="5AF96A51">
      <w:pPr>
        <w:numPr>
          <w:ilvl w:val="0"/>
          <w:numId w:val="0"/>
        </w:numPr>
        <w:spacing w:line="360" w:lineRule="auto"/>
        <w:jc w:val="left"/>
        <w:rPr>
          <w:rFonts w:hint="eastAsia" w:ascii="黑体" w:hAnsi="黑体" w:eastAsia="黑体" w:cs="宋体"/>
          <w:bCs/>
          <w:sz w:val="32"/>
          <w:szCs w:val="32"/>
          <w:highlight w:val="none"/>
        </w:rPr>
      </w:pPr>
    </w:p>
    <w:p w14:paraId="2230CCAF">
      <w:pPr>
        <w:spacing w:line="360" w:lineRule="auto"/>
        <w:ind w:firstLine="561"/>
        <w:jc w:val="left"/>
        <w:rPr>
          <w:rFonts w:ascii="宋体" w:hAnsi="宋体" w:eastAsia="宋体" w:cs="宋体"/>
          <w:sz w:val="24"/>
        </w:rPr>
      </w:pPr>
    </w:p>
    <w:p w14:paraId="379B6712">
      <w:pPr>
        <w:jc w:val="center"/>
        <w:outlineLvl w:val="0"/>
        <w:rPr>
          <w:rFonts w:cs="宋体" w:asciiTheme="majorEastAsia" w:hAnsiTheme="majorEastAsia" w:eastAsiaTheme="majorEastAsia"/>
          <w:b/>
          <w:bCs/>
          <w:sz w:val="44"/>
          <w:szCs w:val="44"/>
        </w:rPr>
      </w:pPr>
    </w:p>
    <w:p w14:paraId="137DF8E5">
      <w:pPr>
        <w:jc w:val="center"/>
        <w:outlineLvl w:val="0"/>
        <w:rPr>
          <w:rFonts w:cs="宋体" w:asciiTheme="majorEastAsia" w:hAnsiTheme="majorEastAsia" w:eastAsiaTheme="majorEastAsia"/>
          <w:b/>
          <w:bCs/>
          <w:sz w:val="44"/>
          <w:szCs w:val="44"/>
        </w:rPr>
      </w:pPr>
    </w:p>
    <w:p w14:paraId="0DCB7721">
      <w:pPr>
        <w:jc w:val="center"/>
        <w:outlineLvl w:val="0"/>
        <w:rPr>
          <w:rFonts w:cs="宋体" w:asciiTheme="majorEastAsia" w:hAnsiTheme="majorEastAsia" w:eastAsiaTheme="majorEastAsia"/>
          <w:b/>
          <w:bCs/>
          <w:sz w:val="44"/>
          <w:szCs w:val="44"/>
        </w:rPr>
      </w:pPr>
    </w:p>
    <w:p w14:paraId="7C488FA9">
      <w:pPr>
        <w:jc w:val="center"/>
        <w:outlineLvl w:val="0"/>
        <w:rPr>
          <w:rFonts w:cs="宋体" w:asciiTheme="majorEastAsia" w:hAnsiTheme="majorEastAsia" w:eastAsiaTheme="majorEastAsia"/>
          <w:b/>
          <w:bCs/>
          <w:sz w:val="44"/>
          <w:szCs w:val="44"/>
        </w:rPr>
      </w:pPr>
    </w:p>
    <w:p w14:paraId="4C3EFDBB">
      <w:pPr>
        <w:jc w:val="center"/>
        <w:outlineLvl w:val="0"/>
        <w:rPr>
          <w:rFonts w:cs="宋体" w:asciiTheme="majorEastAsia" w:hAnsiTheme="majorEastAsia" w:eastAsiaTheme="majorEastAsia"/>
          <w:b/>
          <w:bCs/>
          <w:sz w:val="44"/>
          <w:szCs w:val="44"/>
        </w:rPr>
      </w:pPr>
    </w:p>
    <w:p w14:paraId="12849800">
      <w:pPr>
        <w:jc w:val="center"/>
        <w:outlineLvl w:val="0"/>
        <w:rPr>
          <w:rFonts w:cs="宋体" w:asciiTheme="majorEastAsia" w:hAnsiTheme="majorEastAsia" w:eastAsiaTheme="majorEastAsia"/>
          <w:b/>
          <w:bCs/>
          <w:sz w:val="44"/>
          <w:szCs w:val="44"/>
        </w:rPr>
      </w:pPr>
    </w:p>
    <w:p w14:paraId="2FDB0D8C">
      <w:pPr>
        <w:jc w:val="center"/>
        <w:outlineLvl w:val="0"/>
        <w:rPr>
          <w:rFonts w:cs="宋体" w:asciiTheme="majorEastAsia" w:hAnsiTheme="majorEastAsia" w:eastAsiaTheme="majorEastAsia"/>
          <w:b/>
          <w:bCs/>
          <w:sz w:val="44"/>
          <w:szCs w:val="44"/>
        </w:rPr>
      </w:pPr>
    </w:p>
    <w:p w14:paraId="57C3EE65">
      <w:pPr>
        <w:jc w:val="center"/>
        <w:outlineLvl w:val="0"/>
        <w:rPr>
          <w:rFonts w:cs="宋体" w:asciiTheme="majorEastAsia" w:hAnsiTheme="majorEastAsia" w:eastAsiaTheme="majorEastAsia"/>
          <w:b/>
          <w:bCs/>
          <w:sz w:val="44"/>
          <w:szCs w:val="44"/>
        </w:rPr>
      </w:pPr>
    </w:p>
    <w:p w14:paraId="42C98B42">
      <w:pPr>
        <w:jc w:val="center"/>
        <w:outlineLvl w:val="0"/>
        <w:rPr>
          <w:rFonts w:cs="宋体" w:asciiTheme="majorEastAsia" w:hAnsiTheme="majorEastAsia" w:eastAsiaTheme="majorEastAsia"/>
          <w:b/>
          <w:bCs/>
          <w:sz w:val="44"/>
          <w:szCs w:val="44"/>
        </w:rPr>
      </w:pPr>
    </w:p>
    <w:p w14:paraId="37D8297A">
      <w:pPr>
        <w:jc w:val="center"/>
        <w:outlineLvl w:val="0"/>
        <w:rPr>
          <w:rFonts w:cs="宋体" w:asciiTheme="majorEastAsia" w:hAnsiTheme="majorEastAsia" w:eastAsiaTheme="majorEastAsia"/>
          <w:b/>
          <w:bCs/>
          <w:sz w:val="44"/>
          <w:szCs w:val="44"/>
        </w:rPr>
      </w:pPr>
    </w:p>
    <w:p w14:paraId="53713FBB">
      <w:pPr>
        <w:jc w:val="center"/>
        <w:outlineLvl w:val="0"/>
        <w:rPr>
          <w:rFonts w:cs="宋体" w:asciiTheme="majorEastAsia" w:hAnsiTheme="majorEastAsia" w:eastAsiaTheme="majorEastAsia"/>
          <w:b/>
          <w:bCs/>
          <w:sz w:val="44"/>
          <w:szCs w:val="44"/>
        </w:rPr>
      </w:pPr>
    </w:p>
    <w:p w14:paraId="39600A5E">
      <w:pPr>
        <w:jc w:val="center"/>
        <w:outlineLvl w:val="0"/>
        <w:rPr>
          <w:rFonts w:cs="宋体" w:asciiTheme="majorEastAsia" w:hAnsiTheme="majorEastAsia" w:eastAsiaTheme="majorEastAsia"/>
          <w:b/>
          <w:bCs/>
          <w:sz w:val="44"/>
          <w:szCs w:val="44"/>
        </w:rPr>
      </w:pPr>
    </w:p>
    <w:p w14:paraId="222C0EC3">
      <w:pPr>
        <w:jc w:val="center"/>
        <w:outlineLvl w:val="0"/>
        <w:rPr>
          <w:rFonts w:cs="宋体" w:asciiTheme="majorEastAsia" w:hAnsiTheme="majorEastAsia" w:eastAsiaTheme="majorEastAsia"/>
          <w:b/>
          <w:bCs/>
          <w:sz w:val="44"/>
          <w:szCs w:val="44"/>
        </w:rPr>
      </w:pPr>
    </w:p>
    <w:p w14:paraId="316FB14A">
      <w:pPr>
        <w:jc w:val="center"/>
        <w:outlineLvl w:val="0"/>
        <w:rPr>
          <w:rFonts w:cs="宋体" w:asciiTheme="majorEastAsia" w:hAnsiTheme="majorEastAsia" w:eastAsiaTheme="majorEastAsia"/>
          <w:b/>
          <w:bCs/>
          <w:sz w:val="44"/>
          <w:szCs w:val="44"/>
        </w:rPr>
      </w:pPr>
    </w:p>
    <w:p w14:paraId="0562CE54">
      <w:pPr>
        <w:jc w:val="center"/>
        <w:outlineLvl w:val="0"/>
        <w:rPr>
          <w:rFonts w:cs="宋体" w:asciiTheme="majorEastAsia" w:hAnsiTheme="majorEastAsia" w:eastAsiaTheme="majorEastAsia"/>
          <w:b/>
          <w:bCs/>
          <w:sz w:val="44"/>
          <w:szCs w:val="44"/>
        </w:rPr>
      </w:pPr>
    </w:p>
    <w:p w14:paraId="12F1BD01">
      <w:pPr>
        <w:jc w:val="center"/>
        <w:outlineLvl w:val="0"/>
        <w:rPr>
          <w:rFonts w:cs="宋体" w:asciiTheme="majorEastAsia" w:hAnsiTheme="majorEastAsia" w:eastAsiaTheme="majorEastAsia"/>
          <w:b/>
          <w:bCs/>
          <w:sz w:val="44"/>
          <w:szCs w:val="44"/>
        </w:rPr>
      </w:pPr>
    </w:p>
    <w:p w14:paraId="7C403C98">
      <w:pPr>
        <w:jc w:val="center"/>
        <w:outlineLvl w:val="0"/>
        <w:rPr>
          <w:rFonts w:cs="宋体" w:asciiTheme="majorEastAsia" w:hAnsiTheme="majorEastAsia" w:eastAsiaTheme="majorEastAsia"/>
          <w:b/>
          <w:bCs/>
          <w:sz w:val="44"/>
          <w:szCs w:val="44"/>
        </w:rPr>
      </w:pPr>
    </w:p>
    <w:p w14:paraId="1D38AAD3">
      <w:pPr>
        <w:outlineLvl w:val="0"/>
        <w:rPr>
          <w:rFonts w:cs="宋体" w:asciiTheme="majorEastAsia" w:hAnsiTheme="majorEastAsia" w:eastAsiaTheme="majorEastAsia"/>
          <w:b/>
          <w:bCs/>
          <w:sz w:val="44"/>
          <w:szCs w:val="44"/>
        </w:rPr>
      </w:pPr>
    </w:p>
    <w:p w14:paraId="682BA14C">
      <w:pPr>
        <w:spacing w:line="720" w:lineRule="auto"/>
        <w:jc w:val="center"/>
        <w:outlineLvl w:val="0"/>
        <w:rPr>
          <w:rFonts w:cs="宋体" w:asciiTheme="majorEastAsia" w:hAnsiTheme="majorEastAsia" w:eastAsiaTheme="majorEastAsia"/>
          <w:b/>
          <w:bCs/>
          <w:sz w:val="44"/>
          <w:szCs w:val="44"/>
        </w:rPr>
      </w:pPr>
      <w:bookmarkStart w:id="26" w:name="_Toc6846"/>
      <w:r>
        <w:rPr>
          <w:rFonts w:hint="eastAsia" w:cs="宋体" w:asciiTheme="majorEastAsia" w:hAnsiTheme="majorEastAsia" w:eastAsiaTheme="majorEastAsia"/>
          <w:b/>
          <w:bCs/>
          <w:sz w:val="44"/>
          <w:szCs w:val="44"/>
        </w:rPr>
        <w:t>第三篇  就业相关分析</w:t>
      </w:r>
      <w:bookmarkEnd w:id="26"/>
    </w:p>
    <w:p w14:paraId="79271330">
      <w:pPr>
        <w:spacing w:line="720" w:lineRule="auto"/>
        <w:ind w:firstLine="640" w:firstLineChars="200"/>
        <w:jc w:val="left"/>
        <w:outlineLvl w:val="0"/>
        <w:rPr>
          <w:rFonts w:ascii="黑体" w:hAnsi="黑体" w:eastAsia="黑体" w:cs="宋体"/>
          <w:bCs/>
          <w:sz w:val="32"/>
          <w:szCs w:val="32"/>
        </w:rPr>
      </w:pPr>
      <w:bookmarkStart w:id="27" w:name="_Toc26513"/>
      <w:r>
        <w:rPr>
          <w:rFonts w:hint="eastAsia" w:ascii="黑体" w:hAnsi="黑体" w:eastAsia="黑体" w:cs="宋体"/>
          <w:bCs/>
          <w:sz w:val="32"/>
          <w:szCs w:val="32"/>
        </w:rPr>
        <w:t>一、薪酬水平</w:t>
      </w:r>
      <w:bookmarkEnd w:id="27"/>
    </w:p>
    <w:p w14:paraId="59A1CBB0">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202</w:t>
      </w:r>
      <w:r>
        <w:rPr>
          <w:rFonts w:hint="eastAsia" w:ascii="仿宋" w:hAnsi="仿宋" w:eastAsia="仿宋" w:cs="宋体"/>
          <w:sz w:val="32"/>
          <w:szCs w:val="32"/>
          <w:lang w:val="en-US" w:eastAsia="zh-CN"/>
        </w:rPr>
        <w:t>5</w:t>
      </w:r>
      <w:r>
        <w:rPr>
          <w:rFonts w:hint="eastAsia" w:ascii="仿宋" w:hAnsi="仿宋" w:eastAsia="仿宋" w:cs="宋体"/>
          <w:sz w:val="32"/>
          <w:szCs w:val="32"/>
        </w:rPr>
        <w:t>届毕业生薪资2</w:t>
      </w:r>
      <w:r>
        <w:rPr>
          <w:rFonts w:ascii="仿宋" w:hAnsi="仿宋" w:eastAsia="仿宋" w:cs="宋体"/>
          <w:sz w:val="32"/>
          <w:szCs w:val="32"/>
        </w:rPr>
        <w:t>000-3000</w:t>
      </w:r>
      <w:r>
        <w:rPr>
          <w:rFonts w:hint="eastAsia" w:ascii="仿宋" w:hAnsi="仿宋" w:eastAsia="仿宋" w:cs="宋体"/>
          <w:sz w:val="32"/>
          <w:szCs w:val="32"/>
        </w:rPr>
        <w:t>元居多，其次为4</w:t>
      </w:r>
      <w:r>
        <w:rPr>
          <w:rFonts w:ascii="仿宋" w:hAnsi="仿宋" w:eastAsia="仿宋" w:cs="宋体"/>
          <w:sz w:val="32"/>
          <w:szCs w:val="32"/>
        </w:rPr>
        <w:t>000-5000</w:t>
      </w:r>
      <w:r>
        <w:rPr>
          <w:rFonts w:hint="eastAsia" w:ascii="仿宋" w:hAnsi="仿宋" w:eastAsia="仿宋" w:cs="宋体"/>
          <w:sz w:val="32"/>
          <w:szCs w:val="32"/>
        </w:rPr>
        <w:t>元。</w:t>
      </w:r>
    </w:p>
    <w:p w14:paraId="3BE2C7BB">
      <w:pPr>
        <w:jc w:val="center"/>
        <w:rPr>
          <w:rFonts w:ascii="微软雅黑" w:hAnsi="微软雅黑" w:eastAsia="微软雅黑" w:cs="微软雅黑"/>
          <w:sz w:val="28"/>
          <w:szCs w:val="21"/>
        </w:rPr>
      </w:pPr>
      <w:r>
        <w:drawing>
          <wp:inline distT="0" distB="0" distL="114300" distR="114300">
            <wp:extent cx="5114925" cy="3552825"/>
            <wp:effectExtent l="0" t="0" r="9525" b="9525"/>
            <wp:docPr id="1123" name="图表 4"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A242405">
      <w:pPr>
        <w:jc w:val="center"/>
        <w:rPr>
          <w:rFonts w:ascii="黑体" w:hAnsi="黑体" w:eastAsia="黑体" w:cs="微软雅黑"/>
          <w:szCs w:val="21"/>
        </w:rPr>
      </w:pPr>
      <w:r>
        <w:rPr>
          <w:rFonts w:hint="eastAsia" w:ascii="黑体" w:hAnsi="黑体" w:eastAsia="黑体" w:cs="微软雅黑"/>
          <w:szCs w:val="21"/>
        </w:rPr>
        <w:t>图</w:t>
      </w:r>
      <w:r>
        <w:rPr>
          <w:rFonts w:ascii="黑体" w:hAnsi="黑体" w:eastAsia="黑体" w:cs="微软雅黑"/>
          <w:szCs w:val="21"/>
        </w:rPr>
        <w:t>3</w:t>
      </w:r>
      <w:r>
        <w:rPr>
          <w:rFonts w:hint="eastAsia" w:ascii="黑体" w:hAnsi="黑体" w:eastAsia="黑体" w:cs="微软雅黑"/>
          <w:szCs w:val="21"/>
        </w:rPr>
        <w:t>-</w:t>
      </w:r>
      <w:r>
        <w:rPr>
          <w:rFonts w:ascii="黑体" w:hAnsi="黑体" w:eastAsia="黑体" w:cs="微软雅黑"/>
          <w:szCs w:val="21"/>
        </w:rPr>
        <w:t>1</w:t>
      </w:r>
      <w:r>
        <w:rPr>
          <w:rFonts w:hint="eastAsia" w:ascii="黑体" w:hAnsi="黑体" w:eastAsia="黑体" w:cs="微软雅黑"/>
          <w:szCs w:val="21"/>
        </w:rPr>
        <w:t xml:space="preserve"> 2</w:t>
      </w:r>
      <w:r>
        <w:rPr>
          <w:rFonts w:ascii="黑体" w:hAnsi="黑体" w:eastAsia="黑体" w:cs="微软雅黑"/>
          <w:szCs w:val="21"/>
        </w:rPr>
        <w:t>024</w:t>
      </w:r>
      <w:r>
        <w:rPr>
          <w:rFonts w:hint="eastAsia" w:ascii="黑体" w:hAnsi="黑体" w:eastAsia="黑体" w:cs="微软雅黑"/>
          <w:szCs w:val="21"/>
        </w:rPr>
        <w:t>届毕业生就业薪酬分配比例</w:t>
      </w:r>
    </w:p>
    <w:p w14:paraId="1AC4F81C">
      <w:pPr>
        <w:jc w:val="center"/>
        <w:rPr>
          <w:rFonts w:ascii="微软雅黑" w:hAnsi="微软雅黑" w:eastAsia="微软雅黑" w:cs="微软雅黑"/>
          <w:sz w:val="28"/>
          <w:szCs w:val="21"/>
        </w:rPr>
      </w:pPr>
    </w:p>
    <w:p w14:paraId="1CD2F800">
      <w:pPr>
        <w:ind w:firstLine="640" w:firstLineChars="200"/>
        <w:jc w:val="left"/>
        <w:outlineLvl w:val="0"/>
        <w:rPr>
          <w:rFonts w:ascii="黑体" w:hAnsi="黑体" w:eastAsia="黑体" w:cs="宋体"/>
          <w:bCs/>
          <w:sz w:val="32"/>
          <w:szCs w:val="32"/>
        </w:rPr>
      </w:pPr>
      <w:bookmarkStart w:id="28" w:name="_Toc4738"/>
      <w:r>
        <w:rPr>
          <w:rFonts w:hint="eastAsia" w:ascii="黑体" w:hAnsi="黑体" w:eastAsia="黑体" w:cs="宋体"/>
          <w:bCs/>
          <w:sz w:val="32"/>
          <w:szCs w:val="32"/>
        </w:rPr>
        <w:t>二、专业对口率</w:t>
      </w:r>
      <w:bookmarkEnd w:id="28"/>
    </w:p>
    <w:p w14:paraId="5E5F2BDE">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202</w:t>
      </w:r>
      <w:r>
        <w:rPr>
          <w:rFonts w:hint="eastAsia" w:ascii="仿宋" w:hAnsi="仿宋" w:eastAsia="仿宋" w:cs="宋体"/>
          <w:sz w:val="32"/>
          <w:szCs w:val="32"/>
          <w:lang w:val="en-US" w:eastAsia="zh-CN"/>
        </w:rPr>
        <w:t>5</w:t>
      </w:r>
      <w:r>
        <w:rPr>
          <w:rFonts w:hint="eastAsia" w:ascii="仿宋" w:hAnsi="仿宋" w:eastAsia="仿宋" w:cs="宋体"/>
          <w:sz w:val="32"/>
          <w:szCs w:val="32"/>
        </w:rPr>
        <w:t>届毕业生总体专业对口率为</w:t>
      </w:r>
      <w:r>
        <w:rPr>
          <w:rFonts w:ascii="仿宋" w:hAnsi="仿宋" w:eastAsia="仿宋" w:cs="宋体"/>
          <w:sz w:val="32"/>
          <w:szCs w:val="32"/>
        </w:rPr>
        <w:t>7</w:t>
      </w:r>
      <w:r>
        <w:rPr>
          <w:rFonts w:hint="eastAsia" w:ascii="仿宋" w:hAnsi="仿宋" w:eastAsia="仿宋" w:cs="宋体"/>
          <w:sz w:val="32"/>
          <w:szCs w:val="32"/>
          <w:lang w:val="en-US" w:eastAsia="zh-CN"/>
        </w:rPr>
        <w:t>5.17</w:t>
      </w:r>
      <w:r>
        <w:rPr>
          <w:rFonts w:hint="eastAsia" w:ascii="仿宋" w:hAnsi="仿宋" w:eastAsia="仿宋" w:cs="宋体"/>
          <w:sz w:val="32"/>
          <w:szCs w:val="32"/>
        </w:rPr>
        <w:t>%。</w:t>
      </w:r>
    </w:p>
    <w:p w14:paraId="00CAB806">
      <w:pPr>
        <w:jc w:val="center"/>
        <w:rPr>
          <w:rFonts w:ascii="微软雅黑" w:hAnsi="微软雅黑" w:eastAsia="微软雅黑" w:cs="微软雅黑"/>
          <w:sz w:val="28"/>
          <w:szCs w:val="21"/>
        </w:rPr>
      </w:pPr>
      <w:r>
        <w:drawing>
          <wp:inline distT="0" distB="0" distL="114300" distR="114300">
            <wp:extent cx="4467225" cy="2476500"/>
            <wp:effectExtent l="0" t="0" r="0" b="0"/>
            <wp:docPr id="14450"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A4422F8">
      <w:pPr>
        <w:jc w:val="center"/>
        <w:rPr>
          <w:rFonts w:hint="eastAsia" w:ascii="黑体" w:hAnsi="黑体" w:eastAsia="黑体" w:cs="微软雅黑"/>
          <w:szCs w:val="21"/>
        </w:rPr>
      </w:pPr>
      <w:r>
        <w:rPr>
          <w:rFonts w:hint="eastAsia" w:ascii="黑体" w:hAnsi="黑体" w:eastAsia="黑体" w:cs="微软雅黑"/>
          <w:szCs w:val="21"/>
        </w:rPr>
        <w:t>图</w:t>
      </w:r>
      <w:r>
        <w:rPr>
          <w:rFonts w:ascii="黑体" w:hAnsi="黑体" w:eastAsia="黑体" w:cs="微软雅黑"/>
          <w:szCs w:val="21"/>
        </w:rPr>
        <w:t>3</w:t>
      </w:r>
      <w:r>
        <w:rPr>
          <w:rFonts w:hint="eastAsia" w:ascii="黑体" w:hAnsi="黑体" w:eastAsia="黑体" w:cs="微软雅黑"/>
          <w:szCs w:val="21"/>
        </w:rPr>
        <w:t>-</w:t>
      </w:r>
      <w:r>
        <w:rPr>
          <w:rFonts w:ascii="黑体" w:hAnsi="黑体" w:eastAsia="黑体" w:cs="微软雅黑"/>
          <w:szCs w:val="21"/>
        </w:rPr>
        <w:t>2</w:t>
      </w:r>
      <w:r>
        <w:rPr>
          <w:rFonts w:hint="eastAsia" w:ascii="黑体" w:hAnsi="黑体" w:eastAsia="黑体" w:cs="微软雅黑"/>
          <w:szCs w:val="21"/>
        </w:rPr>
        <w:t xml:space="preserve"> 2</w:t>
      </w:r>
      <w:r>
        <w:rPr>
          <w:rFonts w:ascii="黑体" w:hAnsi="黑体" w:eastAsia="黑体" w:cs="微软雅黑"/>
          <w:szCs w:val="21"/>
        </w:rPr>
        <w:t>02</w:t>
      </w:r>
      <w:r>
        <w:rPr>
          <w:rFonts w:hint="eastAsia" w:ascii="黑体" w:hAnsi="黑体" w:eastAsia="黑体" w:cs="微软雅黑"/>
          <w:szCs w:val="21"/>
          <w:lang w:val="en-US" w:eastAsia="zh-CN"/>
        </w:rPr>
        <w:t>5</w:t>
      </w:r>
      <w:r>
        <w:rPr>
          <w:rFonts w:hint="eastAsia" w:ascii="黑体" w:hAnsi="黑体" w:eastAsia="黑体" w:cs="微软雅黑"/>
          <w:szCs w:val="21"/>
        </w:rPr>
        <w:t>届毕业生</w:t>
      </w:r>
      <w:r>
        <w:rPr>
          <w:rFonts w:hint="eastAsia" w:ascii="黑体" w:hAnsi="黑体" w:eastAsia="黑体" w:cs="微软雅黑"/>
          <w:szCs w:val="21"/>
          <w:lang w:val="en-US" w:eastAsia="zh-CN"/>
        </w:rPr>
        <w:t>总体</w:t>
      </w:r>
      <w:r>
        <w:rPr>
          <w:rFonts w:hint="eastAsia" w:ascii="黑体" w:hAnsi="黑体" w:eastAsia="黑体" w:cs="微软雅黑"/>
          <w:szCs w:val="21"/>
        </w:rPr>
        <w:t>专业对口率</w:t>
      </w:r>
    </w:p>
    <w:p w14:paraId="5BEB4510">
      <w:pPr>
        <w:jc w:val="center"/>
        <w:rPr>
          <w:rFonts w:hint="eastAsia" w:ascii="黑体" w:hAnsi="黑体" w:eastAsia="黑体" w:cs="微软雅黑"/>
          <w:szCs w:val="21"/>
        </w:rPr>
      </w:pPr>
    </w:p>
    <w:p w14:paraId="63602622">
      <w:pPr>
        <w:jc w:val="center"/>
        <w:rPr>
          <w:rFonts w:hint="eastAsia" w:ascii="黑体" w:hAnsi="黑体" w:eastAsia="黑体" w:cs="微软雅黑"/>
          <w:szCs w:val="21"/>
        </w:rPr>
      </w:pPr>
    </w:p>
    <w:p w14:paraId="39CDF120">
      <w:pPr>
        <w:jc w:val="center"/>
      </w:pPr>
      <w:r>
        <w:drawing>
          <wp:inline distT="0" distB="0" distL="114300" distR="114300">
            <wp:extent cx="5271770" cy="4399915"/>
            <wp:effectExtent l="0" t="0" r="5080" b="635"/>
            <wp:docPr id="1445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D08B483">
      <w:pPr>
        <w:jc w:val="center"/>
        <w:rPr>
          <w:rFonts w:hint="eastAsia"/>
        </w:rPr>
      </w:pPr>
    </w:p>
    <w:p w14:paraId="52AF3AFA">
      <w:pPr>
        <w:jc w:val="center"/>
        <w:rPr>
          <w:rFonts w:hint="eastAsia" w:ascii="黑体" w:hAnsi="黑体" w:eastAsia="黑体" w:cs="微软雅黑"/>
          <w:szCs w:val="21"/>
        </w:rPr>
      </w:pPr>
      <w:r>
        <w:rPr>
          <w:rFonts w:hint="eastAsia" w:ascii="黑体" w:hAnsi="黑体" w:eastAsia="黑体" w:cs="微软雅黑"/>
          <w:szCs w:val="21"/>
        </w:rPr>
        <w:t>图</w:t>
      </w:r>
      <w:r>
        <w:rPr>
          <w:rFonts w:ascii="黑体" w:hAnsi="黑体" w:eastAsia="黑体" w:cs="微软雅黑"/>
          <w:szCs w:val="21"/>
        </w:rPr>
        <w:t>3</w:t>
      </w:r>
      <w:r>
        <w:rPr>
          <w:rFonts w:hint="eastAsia" w:ascii="黑体" w:hAnsi="黑体" w:eastAsia="黑体" w:cs="微软雅黑"/>
          <w:szCs w:val="21"/>
        </w:rPr>
        <w:t>-</w:t>
      </w:r>
      <w:r>
        <w:rPr>
          <w:rFonts w:hint="eastAsia" w:ascii="黑体" w:hAnsi="黑体" w:eastAsia="黑体" w:cs="微软雅黑"/>
          <w:szCs w:val="21"/>
          <w:lang w:val="en-US" w:eastAsia="zh-CN"/>
        </w:rPr>
        <w:t>3</w:t>
      </w:r>
      <w:r>
        <w:rPr>
          <w:rFonts w:hint="eastAsia" w:ascii="黑体" w:hAnsi="黑体" w:eastAsia="黑体" w:cs="微软雅黑"/>
          <w:szCs w:val="21"/>
        </w:rPr>
        <w:t xml:space="preserve"> 2</w:t>
      </w:r>
      <w:r>
        <w:rPr>
          <w:rFonts w:ascii="黑体" w:hAnsi="黑体" w:eastAsia="黑体" w:cs="微软雅黑"/>
          <w:szCs w:val="21"/>
        </w:rPr>
        <w:t>02</w:t>
      </w:r>
      <w:r>
        <w:rPr>
          <w:rFonts w:hint="eastAsia" w:ascii="黑体" w:hAnsi="黑体" w:eastAsia="黑体" w:cs="微软雅黑"/>
          <w:szCs w:val="21"/>
          <w:lang w:val="en-US" w:eastAsia="zh-CN"/>
        </w:rPr>
        <w:t>5</w:t>
      </w:r>
      <w:r>
        <w:rPr>
          <w:rFonts w:hint="eastAsia" w:ascii="黑体" w:hAnsi="黑体" w:eastAsia="黑体" w:cs="微软雅黑"/>
          <w:szCs w:val="21"/>
        </w:rPr>
        <w:t>届毕业生</w:t>
      </w:r>
      <w:r>
        <w:rPr>
          <w:rFonts w:hint="eastAsia" w:ascii="黑体" w:hAnsi="黑体" w:eastAsia="黑体" w:cs="微软雅黑"/>
          <w:szCs w:val="21"/>
          <w:lang w:val="en-US" w:eastAsia="zh-CN"/>
        </w:rPr>
        <w:t>各专业</w:t>
      </w:r>
      <w:r>
        <w:rPr>
          <w:rFonts w:hint="eastAsia" w:ascii="黑体" w:hAnsi="黑体" w:eastAsia="黑体" w:cs="微软雅黑"/>
          <w:szCs w:val="21"/>
        </w:rPr>
        <w:t>专业对口率</w:t>
      </w:r>
    </w:p>
    <w:p w14:paraId="277BAF8B">
      <w:pPr>
        <w:jc w:val="center"/>
        <w:rPr>
          <w:rFonts w:hint="eastAsia" w:ascii="黑体" w:hAnsi="黑体" w:eastAsia="黑体" w:cs="微软雅黑"/>
          <w:szCs w:val="21"/>
        </w:rPr>
      </w:pPr>
    </w:p>
    <w:p w14:paraId="262448E9">
      <w:pPr>
        <w:jc w:val="center"/>
        <w:rPr>
          <w:rFonts w:hint="eastAsia" w:ascii="黑体" w:hAnsi="黑体" w:eastAsia="黑体" w:cs="微软雅黑"/>
          <w:szCs w:val="21"/>
        </w:rPr>
      </w:pPr>
    </w:p>
    <w:p w14:paraId="08438E2D">
      <w:pPr>
        <w:ind w:firstLine="643" w:firstLineChars="200"/>
        <w:jc w:val="left"/>
        <w:outlineLvl w:val="0"/>
        <w:rPr>
          <w:rFonts w:ascii="黑体" w:hAnsi="黑体" w:eastAsia="黑体" w:cs="宋体"/>
          <w:b/>
          <w:bCs/>
          <w:sz w:val="32"/>
          <w:szCs w:val="32"/>
        </w:rPr>
      </w:pPr>
    </w:p>
    <w:p w14:paraId="664308DA">
      <w:pPr>
        <w:ind w:firstLine="640" w:firstLineChars="200"/>
        <w:jc w:val="left"/>
        <w:outlineLvl w:val="0"/>
        <w:rPr>
          <w:rFonts w:ascii="黑体" w:hAnsi="黑体" w:eastAsia="黑体" w:cs="宋体"/>
          <w:bCs/>
          <w:sz w:val="32"/>
          <w:szCs w:val="32"/>
        </w:rPr>
      </w:pPr>
      <w:bookmarkStart w:id="29" w:name="_Toc16742"/>
      <w:r>
        <w:rPr>
          <w:rFonts w:hint="eastAsia" w:ascii="黑体" w:hAnsi="黑体" w:eastAsia="黑体" w:cs="宋体"/>
          <w:bCs/>
          <w:sz w:val="32"/>
          <w:szCs w:val="32"/>
        </w:rPr>
        <w:t>三、就业满意度</w:t>
      </w:r>
      <w:bookmarkEnd w:id="29"/>
    </w:p>
    <w:p w14:paraId="1E0EF54E">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202</w:t>
      </w:r>
      <w:r>
        <w:rPr>
          <w:rFonts w:hint="eastAsia" w:ascii="仿宋" w:hAnsi="仿宋" w:eastAsia="仿宋" w:cs="宋体"/>
          <w:sz w:val="32"/>
          <w:szCs w:val="32"/>
          <w:lang w:val="en-US" w:eastAsia="zh-CN"/>
        </w:rPr>
        <w:t>5</w:t>
      </w:r>
      <w:r>
        <w:rPr>
          <w:rFonts w:hint="eastAsia" w:ascii="仿宋" w:hAnsi="仿宋" w:eastAsia="仿宋" w:cs="宋体"/>
          <w:sz w:val="32"/>
          <w:szCs w:val="32"/>
        </w:rPr>
        <w:t>届毕业生的总体就业满意度为</w:t>
      </w:r>
      <w:r>
        <w:rPr>
          <w:rFonts w:hint="eastAsia" w:ascii="仿宋" w:hAnsi="仿宋" w:eastAsia="仿宋" w:cs="宋体"/>
          <w:sz w:val="32"/>
          <w:szCs w:val="32"/>
          <w:lang w:val="en-US" w:eastAsia="zh-CN"/>
        </w:rPr>
        <w:t>100</w:t>
      </w:r>
      <w:r>
        <w:rPr>
          <w:rFonts w:hint="eastAsia" w:ascii="仿宋" w:hAnsi="仿宋" w:eastAsia="仿宋" w:cs="宋体"/>
          <w:sz w:val="32"/>
          <w:szCs w:val="32"/>
        </w:rPr>
        <w:t>%。其中非常满意为</w:t>
      </w:r>
      <w:r>
        <w:rPr>
          <w:rFonts w:hint="eastAsia" w:ascii="仿宋" w:hAnsi="仿宋" w:eastAsia="仿宋" w:cs="宋体"/>
          <w:sz w:val="32"/>
          <w:szCs w:val="32"/>
          <w:lang w:val="en-US" w:eastAsia="zh-CN"/>
        </w:rPr>
        <w:t>95.37</w:t>
      </w:r>
      <w:r>
        <w:rPr>
          <w:rFonts w:hint="eastAsia" w:ascii="仿宋" w:hAnsi="仿宋" w:eastAsia="仿宋" w:cs="宋体"/>
          <w:sz w:val="32"/>
          <w:szCs w:val="32"/>
        </w:rPr>
        <w:t>，一般满意为</w:t>
      </w:r>
      <w:r>
        <w:rPr>
          <w:rFonts w:hint="eastAsia" w:ascii="仿宋" w:hAnsi="仿宋" w:eastAsia="仿宋" w:cs="宋体"/>
          <w:sz w:val="32"/>
          <w:szCs w:val="32"/>
          <w:lang w:val="en-US" w:eastAsia="zh-CN"/>
        </w:rPr>
        <w:t>4.63</w:t>
      </w:r>
      <w:r>
        <w:rPr>
          <w:rFonts w:ascii="仿宋" w:hAnsi="仿宋" w:eastAsia="仿宋" w:cs="宋体"/>
          <w:sz w:val="32"/>
          <w:szCs w:val="32"/>
        </w:rPr>
        <w:t>%</w:t>
      </w:r>
      <w:r>
        <w:rPr>
          <w:rFonts w:hint="eastAsia" w:ascii="仿宋" w:hAnsi="仿宋" w:eastAsia="仿宋" w:cs="宋体"/>
          <w:sz w:val="32"/>
          <w:szCs w:val="32"/>
        </w:rPr>
        <w:t>，不满意为</w:t>
      </w:r>
      <w:r>
        <w:rPr>
          <w:rFonts w:ascii="仿宋" w:hAnsi="仿宋" w:eastAsia="仿宋" w:cs="宋体"/>
          <w:sz w:val="32"/>
          <w:szCs w:val="32"/>
        </w:rPr>
        <w:t>0.0</w:t>
      </w:r>
      <w:r>
        <w:rPr>
          <w:rFonts w:hint="eastAsia" w:ascii="仿宋" w:hAnsi="仿宋" w:eastAsia="仿宋" w:cs="宋体"/>
          <w:sz w:val="32"/>
          <w:szCs w:val="32"/>
          <w:lang w:val="en-US" w:eastAsia="zh-CN"/>
        </w:rPr>
        <w:t>0</w:t>
      </w:r>
      <w:r>
        <w:rPr>
          <w:rFonts w:ascii="仿宋" w:hAnsi="仿宋" w:eastAsia="仿宋" w:cs="宋体"/>
          <w:sz w:val="32"/>
          <w:szCs w:val="32"/>
        </w:rPr>
        <w:t>%</w:t>
      </w:r>
      <w:r>
        <w:rPr>
          <w:rFonts w:hint="eastAsia" w:ascii="仿宋" w:hAnsi="仿宋" w:eastAsia="仿宋" w:cs="宋体"/>
          <w:sz w:val="32"/>
          <w:szCs w:val="32"/>
        </w:rPr>
        <w:t>。</w:t>
      </w:r>
    </w:p>
    <w:p w14:paraId="0A7910A7">
      <w:pPr>
        <w:jc w:val="center"/>
        <w:rPr>
          <w:rFonts w:ascii="Calibri" w:hAnsi="Calibri" w:eastAsia="宋体" w:cs="宋体"/>
          <w:szCs w:val="21"/>
        </w:rPr>
      </w:pPr>
      <w:r>
        <w:drawing>
          <wp:inline distT="0" distB="0" distL="114300" distR="114300">
            <wp:extent cx="4572000" cy="2783205"/>
            <wp:effectExtent l="0" t="0" r="0" b="0"/>
            <wp:docPr id="1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A7F7756">
      <w:pPr>
        <w:jc w:val="center"/>
        <w:rPr>
          <w:rFonts w:ascii="微软雅黑" w:hAnsi="微软雅黑" w:eastAsia="微软雅黑" w:cs="微软雅黑"/>
          <w:szCs w:val="21"/>
        </w:rPr>
      </w:pPr>
      <w:r>
        <w:rPr>
          <w:rFonts w:hint="eastAsia" w:ascii="黑体" w:hAnsi="黑体" w:eastAsia="黑体" w:cs="微软雅黑"/>
          <w:szCs w:val="21"/>
        </w:rPr>
        <w:t>图</w:t>
      </w:r>
      <w:r>
        <w:rPr>
          <w:rFonts w:ascii="黑体" w:hAnsi="黑体" w:eastAsia="黑体" w:cs="微软雅黑"/>
          <w:szCs w:val="21"/>
        </w:rPr>
        <w:t>3</w:t>
      </w:r>
      <w:r>
        <w:rPr>
          <w:rFonts w:hint="eastAsia" w:ascii="黑体" w:hAnsi="黑体" w:eastAsia="黑体" w:cs="微软雅黑"/>
          <w:szCs w:val="21"/>
        </w:rPr>
        <w:t>-</w:t>
      </w:r>
      <w:r>
        <w:rPr>
          <w:rFonts w:hint="eastAsia" w:ascii="黑体" w:hAnsi="黑体" w:eastAsia="黑体" w:cs="微软雅黑"/>
          <w:szCs w:val="21"/>
          <w:lang w:val="en-US" w:eastAsia="zh-CN"/>
        </w:rPr>
        <w:t>4</w:t>
      </w:r>
      <w:r>
        <w:rPr>
          <w:rFonts w:hint="eastAsia" w:ascii="黑体" w:hAnsi="黑体" w:eastAsia="黑体" w:cs="微软雅黑"/>
          <w:szCs w:val="21"/>
        </w:rPr>
        <w:t xml:space="preserve"> 2</w:t>
      </w:r>
      <w:r>
        <w:rPr>
          <w:rFonts w:ascii="黑体" w:hAnsi="黑体" w:eastAsia="黑体" w:cs="微软雅黑"/>
          <w:szCs w:val="21"/>
        </w:rPr>
        <w:t>02</w:t>
      </w:r>
      <w:r>
        <w:rPr>
          <w:rFonts w:hint="eastAsia" w:ascii="黑体" w:hAnsi="黑体" w:eastAsia="黑体" w:cs="微软雅黑"/>
          <w:szCs w:val="21"/>
          <w:lang w:val="en-US" w:eastAsia="zh-CN"/>
        </w:rPr>
        <w:t>5</w:t>
      </w:r>
      <w:r>
        <w:rPr>
          <w:rFonts w:hint="eastAsia" w:ascii="黑体" w:hAnsi="黑体" w:eastAsia="黑体" w:cs="微软雅黑"/>
          <w:szCs w:val="21"/>
        </w:rPr>
        <w:t>届毕业生就业满意度</w:t>
      </w:r>
    </w:p>
    <w:p w14:paraId="6C55A07E">
      <w:pPr>
        <w:ind w:firstLine="640" w:firstLineChars="200"/>
        <w:jc w:val="left"/>
        <w:outlineLvl w:val="0"/>
        <w:rPr>
          <w:rFonts w:ascii="黑体" w:hAnsi="黑体" w:eastAsia="黑体" w:cs="宋体"/>
          <w:bCs/>
          <w:sz w:val="32"/>
          <w:szCs w:val="32"/>
        </w:rPr>
      </w:pPr>
      <w:bookmarkStart w:id="30" w:name="_Toc14788"/>
      <w:r>
        <w:rPr>
          <w:rFonts w:hint="eastAsia" w:ascii="黑体" w:hAnsi="黑体" w:eastAsia="黑体" w:cs="宋体"/>
          <w:bCs/>
          <w:sz w:val="32"/>
          <w:szCs w:val="32"/>
        </w:rPr>
        <w:t>四、求职途径分析</w:t>
      </w:r>
      <w:bookmarkEnd w:id="30"/>
    </w:p>
    <w:p w14:paraId="6D90DF89">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202</w:t>
      </w:r>
      <w:r>
        <w:rPr>
          <w:rFonts w:hint="eastAsia" w:ascii="仿宋" w:hAnsi="仿宋" w:eastAsia="仿宋" w:cs="宋体"/>
          <w:sz w:val="32"/>
          <w:szCs w:val="32"/>
          <w:lang w:val="en-US" w:eastAsia="zh-CN"/>
        </w:rPr>
        <w:t>5</w:t>
      </w:r>
      <w:r>
        <w:rPr>
          <w:rFonts w:hint="eastAsia" w:ascii="仿宋" w:hAnsi="仿宋" w:eastAsia="仿宋" w:cs="宋体"/>
          <w:sz w:val="32"/>
          <w:szCs w:val="32"/>
        </w:rPr>
        <w:t>届毕业生主要通过</w:t>
      </w:r>
      <w:r>
        <w:rPr>
          <w:rFonts w:hint="eastAsia" w:ascii="仿宋" w:hAnsi="仿宋" w:eastAsia="仿宋" w:cs="宋体"/>
          <w:sz w:val="32"/>
          <w:szCs w:val="32"/>
          <w:lang w:val="en-US" w:eastAsia="zh-CN"/>
        </w:rPr>
        <w:t>他人介绍和</w:t>
      </w:r>
      <w:r>
        <w:rPr>
          <w:rFonts w:hint="eastAsia" w:ascii="仿宋" w:hAnsi="仿宋" w:eastAsia="仿宋" w:cs="宋体"/>
          <w:sz w:val="32"/>
          <w:szCs w:val="32"/>
        </w:rPr>
        <w:t>本校就业网站或招聘会落实工作。</w:t>
      </w:r>
    </w:p>
    <w:p w14:paraId="32973C95">
      <w:pPr>
        <w:rPr>
          <w:rFonts w:ascii="微软雅黑" w:hAnsi="微软雅黑" w:eastAsia="微软雅黑" w:cs="微软雅黑"/>
          <w:sz w:val="28"/>
          <w:szCs w:val="21"/>
        </w:rPr>
      </w:pPr>
      <w:r>
        <w:drawing>
          <wp:inline distT="0" distB="0" distL="114300" distR="114300">
            <wp:extent cx="5066030" cy="2712085"/>
            <wp:effectExtent l="0" t="0" r="1270" b="12065"/>
            <wp:docPr id="49175" name="图表 1" descr="7b0a202020202263686172745265734964223a202232303437313832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31E0008">
      <w:pPr>
        <w:jc w:val="center"/>
        <w:rPr>
          <w:rFonts w:ascii="微软雅黑" w:hAnsi="微软雅黑" w:eastAsia="微软雅黑" w:cs="微软雅黑"/>
          <w:sz w:val="28"/>
          <w:szCs w:val="21"/>
        </w:rPr>
      </w:pPr>
      <w:r>
        <w:rPr>
          <w:rFonts w:hint="eastAsia" w:ascii="黑体" w:hAnsi="黑体" w:eastAsia="黑体" w:cs="微软雅黑"/>
          <w:szCs w:val="21"/>
        </w:rPr>
        <w:t>图</w:t>
      </w:r>
      <w:r>
        <w:rPr>
          <w:rFonts w:ascii="黑体" w:hAnsi="黑体" w:eastAsia="黑体" w:cs="微软雅黑"/>
          <w:szCs w:val="21"/>
        </w:rPr>
        <w:t>3</w:t>
      </w:r>
      <w:r>
        <w:rPr>
          <w:rFonts w:hint="eastAsia" w:ascii="黑体" w:hAnsi="黑体" w:eastAsia="黑体" w:cs="微软雅黑"/>
          <w:szCs w:val="21"/>
        </w:rPr>
        <w:t>-</w:t>
      </w:r>
      <w:r>
        <w:rPr>
          <w:rFonts w:hint="eastAsia" w:ascii="黑体" w:hAnsi="黑体" w:eastAsia="黑体" w:cs="微软雅黑"/>
          <w:szCs w:val="21"/>
          <w:lang w:val="en-US" w:eastAsia="zh-CN"/>
        </w:rPr>
        <w:t>5</w:t>
      </w:r>
      <w:r>
        <w:rPr>
          <w:rFonts w:hint="eastAsia" w:ascii="黑体" w:hAnsi="黑体" w:eastAsia="黑体" w:cs="微软雅黑"/>
          <w:szCs w:val="21"/>
        </w:rPr>
        <w:t xml:space="preserve"> 2</w:t>
      </w:r>
      <w:r>
        <w:rPr>
          <w:rFonts w:ascii="黑体" w:hAnsi="黑体" w:eastAsia="黑体" w:cs="微软雅黑"/>
          <w:szCs w:val="21"/>
        </w:rPr>
        <w:t>02</w:t>
      </w:r>
      <w:r>
        <w:rPr>
          <w:rFonts w:hint="eastAsia" w:ascii="黑体" w:hAnsi="黑体" w:eastAsia="黑体" w:cs="微软雅黑"/>
          <w:szCs w:val="21"/>
          <w:lang w:val="en-US" w:eastAsia="zh-CN"/>
        </w:rPr>
        <w:t>5</w:t>
      </w:r>
      <w:r>
        <w:rPr>
          <w:rFonts w:hint="eastAsia" w:ascii="黑体" w:hAnsi="黑体" w:eastAsia="黑体" w:cs="微软雅黑"/>
          <w:szCs w:val="21"/>
        </w:rPr>
        <w:t>届毕业生求职途径分析</w:t>
      </w:r>
    </w:p>
    <w:p w14:paraId="0813841B">
      <w:pPr>
        <w:spacing w:line="720" w:lineRule="auto"/>
        <w:jc w:val="center"/>
        <w:outlineLvl w:val="0"/>
        <w:rPr>
          <w:rFonts w:cs="宋体" w:asciiTheme="majorEastAsia" w:hAnsiTheme="majorEastAsia" w:eastAsiaTheme="majorEastAsia"/>
          <w:b/>
          <w:bCs/>
          <w:sz w:val="44"/>
          <w:szCs w:val="44"/>
        </w:rPr>
      </w:pPr>
      <w:bookmarkStart w:id="31" w:name="_Toc17660"/>
      <w:r>
        <w:rPr>
          <w:rFonts w:hint="eastAsia" w:cs="宋体" w:asciiTheme="majorEastAsia" w:hAnsiTheme="majorEastAsia" w:eastAsiaTheme="majorEastAsia"/>
          <w:b/>
          <w:bCs/>
          <w:sz w:val="44"/>
          <w:szCs w:val="44"/>
        </w:rPr>
        <w:t>第四篇  就业相关分析</w:t>
      </w:r>
      <w:bookmarkEnd w:id="31"/>
    </w:p>
    <w:p w14:paraId="4E52308D">
      <w:pPr>
        <w:spacing w:line="720" w:lineRule="auto"/>
        <w:ind w:firstLine="640" w:firstLineChars="200"/>
        <w:jc w:val="left"/>
        <w:outlineLvl w:val="0"/>
        <w:rPr>
          <w:rFonts w:ascii="黑体" w:hAnsi="黑体" w:eastAsia="黑体" w:cs="宋体"/>
          <w:bCs/>
          <w:sz w:val="32"/>
          <w:szCs w:val="32"/>
        </w:rPr>
      </w:pPr>
      <w:bookmarkStart w:id="32" w:name="_Toc31757"/>
      <w:r>
        <w:rPr>
          <w:rFonts w:hint="eastAsia" w:ascii="黑体" w:hAnsi="黑体" w:eastAsia="黑体" w:cs="宋体"/>
          <w:bCs/>
          <w:sz w:val="32"/>
          <w:szCs w:val="32"/>
        </w:rPr>
        <w:t>一、毕业去向落实率变化趋势</w:t>
      </w:r>
      <w:bookmarkEnd w:id="32"/>
    </w:p>
    <w:p w14:paraId="3DE1ECFD">
      <w:pPr>
        <w:jc w:val="center"/>
        <w:rPr>
          <w:rFonts w:ascii="微软雅黑" w:hAnsi="微软雅黑" w:eastAsia="微软雅黑" w:cs="微软雅黑"/>
          <w:sz w:val="28"/>
          <w:szCs w:val="21"/>
        </w:rPr>
      </w:pPr>
      <w:r>
        <w:drawing>
          <wp:inline distT="0" distB="0" distL="114300" distR="114300">
            <wp:extent cx="5274945" cy="2789555"/>
            <wp:effectExtent l="0" t="0" r="1905" b="10795"/>
            <wp:docPr id="1121" name="图表 5" descr="7b0a202020202263686172745265734964223a20223230343638373831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C5FE73B">
      <w:pPr>
        <w:jc w:val="center"/>
        <w:rPr>
          <w:rFonts w:ascii="黑体" w:hAnsi="黑体" w:eastAsia="黑体" w:cs="宋体"/>
          <w:bCs/>
          <w:sz w:val="32"/>
          <w:szCs w:val="32"/>
        </w:rPr>
      </w:pPr>
      <w:r>
        <w:rPr>
          <w:rFonts w:hint="eastAsia" w:ascii="黑体" w:hAnsi="黑体" w:eastAsia="黑体" w:cs="微软雅黑"/>
          <w:szCs w:val="21"/>
        </w:rPr>
        <w:t>图</w:t>
      </w:r>
      <w:r>
        <w:rPr>
          <w:rFonts w:ascii="黑体" w:hAnsi="黑体" w:eastAsia="黑体" w:cs="微软雅黑"/>
          <w:szCs w:val="21"/>
        </w:rPr>
        <w:t xml:space="preserve">4-1 </w:t>
      </w:r>
      <w:r>
        <w:rPr>
          <w:rFonts w:hint="eastAsia" w:ascii="黑体" w:hAnsi="黑体" w:eastAsia="黑体" w:cs="微软雅黑"/>
          <w:szCs w:val="21"/>
        </w:rPr>
        <w:t>2</w:t>
      </w:r>
      <w:r>
        <w:rPr>
          <w:rFonts w:ascii="黑体" w:hAnsi="黑体" w:eastAsia="黑体" w:cs="微软雅黑"/>
          <w:szCs w:val="21"/>
        </w:rPr>
        <w:t>0</w:t>
      </w:r>
      <w:r>
        <w:rPr>
          <w:rFonts w:hint="eastAsia" w:ascii="黑体" w:hAnsi="黑体" w:eastAsia="黑体" w:cs="微软雅黑"/>
          <w:szCs w:val="21"/>
          <w:lang w:val="en-US" w:eastAsia="zh-CN"/>
        </w:rPr>
        <w:t>25</w:t>
      </w:r>
      <w:r>
        <w:rPr>
          <w:rFonts w:hint="eastAsia" w:ascii="黑体" w:hAnsi="黑体" w:eastAsia="黑体" w:cs="微软雅黑"/>
          <w:szCs w:val="21"/>
        </w:rPr>
        <w:t>届毕业生毕业去向落实率变化趋势</w:t>
      </w:r>
    </w:p>
    <w:p w14:paraId="72F361D7">
      <w:pPr>
        <w:ind w:firstLine="640" w:firstLineChars="200"/>
        <w:jc w:val="left"/>
        <w:outlineLvl w:val="0"/>
        <w:rPr>
          <w:rFonts w:ascii="黑体" w:hAnsi="黑体" w:eastAsia="黑体" w:cs="宋体"/>
          <w:bCs/>
          <w:sz w:val="32"/>
          <w:szCs w:val="32"/>
        </w:rPr>
      </w:pPr>
      <w:bookmarkStart w:id="33" w:name="_Toc27545"/>
      <w:r>
        <w:rPr>
          <w:rFonts w:hint="eastAsia" w:ascii="黑体" w:hAnsi="黑体" w:eastAsia="黑体" w:cs="宋体"/>
          <w:bCs/>
          <w:sz w:val="32"/>
          <w:szCs w:val="32"/>
        </w:rPr>
        <w:t>二、</w:t>
      </w:r>
      <w:r>
        <w:rPr>
          <w:rFonts w:hint="eastAsia" w:ascii="黑体" w:hAnsi="黑体" w:eastAsia="黑体" w:cs="宋体"/>
          <w:bCs/>
          <w:sz w:val="32"/>
          <w:szCs w:val="32"/>
          <w:lang w:val="en-US" w:eastAsia="zh-CN"/>
        </w:rPr>
        <w:t>就业形式</w:t>
      </w:r>
      <w:r>
        <w:rPr>
          <w:rFonts w:hint="eastAsia" w:ascii="黑体" w:hAnsi="黑体" w:eastAsia="黑体" w:cs="宋体"/>
          <w:bCs/>
          <w:sz w:val="32"/>
          <w:szCs w:val="32"/>
        </w:rPr>
        <w:t>变化趋势</w:t>
      </w:r>
      <w:bookmarkEnd w:id="33"/>
    </w:p>
    <w:p w14:paraId="300CE87B">
      <w:pPr>
        <w:spacing w:line="360" w:lineRule="auto"/>
        <w:ind w:firstLine="561"/>
        <w:jc w:val="left"/>
        <w:rPr>
          <w:rFonts w:ascii="仿宋" w:hAnsi="仿宋" w:eastAsia="仿宋" w:cs="宋体"/>
          <w:sz w:val="32"/>
          <w:szCs w:val="32"/>
        </w:rPr>
      </w:pPr>
      <w:r>
        <w:rPr>
          <w:rFonts w:hint="eastAsia" w:ascii="仿宋" w:hAnsi="仿宋" w:eastAsia="仿宋" w:cs="宋体"/>
          <w:sz w:val="32"/>
          <w:szCs w:val="32"/>
          <w:lang w:val="en-US" w:eastAsia="zh-CN"/>
        </w:rPr>
        <w:t>近三年来</w:t>
      </w:r>
      <w:r>
        <w:rPr>
          <w:rFonts w:hint="eastAsia" w:ascii="仿宋" w:hAnsi="仿宋" w:eastAsia="仿宋" w:cs="宋体"/>
          <w:sz w:val="32"/>
          <w:szCs w:val="32"/>
        </w:rPr>
        <w:t>呈现出协议就业稳步走强、劳动合同就业持续收缩、灵活就业成为重要补充的变化趋势</w:t>
      </w:r>
      <w:r>
        <w:rPr>
          <w:rFonts w:hint="eastAsia" w:ascii="仿宋" w:hAnsi="仿宋" w:eastAsia="仿宋" w:cs="宋体"/>
          <w:sz w:val="32"/>
          <w:szCs w:val="32"/>
          <w:lang w:eastAsia="zh-CN"/>
        </w:rPr>
        <w:t>。</w:t>
      </w:r>
    </w:p>
    <w:p w14:paraId="020444E5">
      <w:pPr>
        <w:jc w:val="left"/>
        <w:rPr>
          <w:rFonts w:ascii="微软雅黑" w:hAnsi="微软雅黑" w:eastAsia="微软雅黑" w:cs="微软雅黑"/>
          <w:sz w:val="28"/>
          <w:szCs w:val="21"/>
        </w:rPr>
      </w:pPr>
      <w:r>
        <w:drawing>
          <wp:inline distT="0" distB="0" distL="114300" distR="114300">
            <wp:extent cx="5278120" cy="2782570"/>
            <wp:effectExtent l="0" t="0" r="17780" b="17780"/>
            <wp:docPr id="1122" name="图表 6" descr="7b0a202020202263686172745265734964223a202232303437363935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117A28D">
      <w:pPr>
        <w:jc w:val="center"/>
        <w:rPr>
          <w:rFonts w:ascii="微软雅黑" w:hAnsi="微软雅黑" w:eastAsia="微软雅黑" w:cs="微软雅黑"/>
          <w:sz w:val="28"/>
          <w:szCs w:val="21"/>
        </w:rPr>
      </w:pPr>
      <w:r>
        <w:rPr>
          <w:rFonts w:hint="eastAsia" w:ascii="黑体" w:hAnsi="黑体" w:eastAsia="黑体" w:cs="微软雅黑"/>
          <w:szCs w:val="21"/>
        </w:rPr>
        <w:t>图</w:t>
      </w:r>
      <w:r>
        <w:rPr>
          <w:rFonts w:ascii="黑体" w:hAnsi="黑体" w:eastAsia="黑体" w:cs="微软雅黑"/>
          <w:szCs w:val="21"/>
        </w:rPr>
        <w:t xml:space="preserve">4-2 </w:t>
      </w:r>
      <w:r>
        <w:rPr>
          <w:rFonts w:hint="eastAsia" w:ascii="黑体" w:hAnsi="黑体" w:eastAsia="黑体" w:cs="微软雅黑"/>
          <w:szCs w:val="21"/>
        </w:rPr>
        <w:t>2</w:t>
      </w:r>
      <w:r>
        <w:rPr>
          <w:rFonts w:ascii="黑体" w:hAnsi="黑体" w:eastAsia="黑体" w:cs="微软雅黑"/>
          <w:szCs w:val="21"/>
        </w:rPr>
        <w:t>02</w:t>
      </w:r>
      <w:r>
        <w:rPr>
          <w:rFonts w:hint="eastAsia" w:ascii="黑体" w:hAnsi="黑体" w:eastAsia="黑体" w:cs="微软雅黑"/>
          <w:szCs w:val="21"/>
          <w:lang w:val="en-US" w:eastAsia="zh-CN"/>
        </w:rPr>
        <w:t>5</w:t>
      </w:r>
      <w:r>
        <w:rPr>
          <w:rFonts w:hint="eastAsia" w:ascii="黑体" w:hAnsi="黑体" w:eastAsia="黑体" w:cs="微软雅黑"/>
          <w:szCs w:val="21"/>
        </w:rPr>
        <w:t>届毕业生就业形式变化趋势</w:t>
      </w:r>
    </w:p>
    <w:p w14:paraId="387F1186">
      <w:pPr>
        <w:jc w:val="center"/>
        <w:outlineLvl w:val="0"/>
        <w:rPr>
          <w:rFonts w:cs="宋体" w:asciiTheme="majorEastAsia" w:hAnsiTheme="majorEastAsia" w:eastAsiaTheme="majorEastAsia"/>
          <w:b/>
          <w:bCs/>
          <w:sz w:val="44"/>
          <w:szCs w:val="44"/>
        </w:rPr>
      </w:pPr>
      <w:bookmarkStart w:id="34" w:name="_Toc16873"/>
      <w:r>
        <w:rPr>
          <w:rFonts w:hint="eastAsia" w:cs="宋体" w:asciiTheme="majorEastAsia" w:hAnsiTheme="majorEastAsia" w:eastAsiaTheme="majorEastAsia"/>
          <w:b/>
          <w:bCs/>
          <w:sz w:val="44"/>
          <w:szCs w:val="44"/>
        </w:rPr>
        <w:t>第五篇  对教育教学的反馈</w:t>
      </w:r>
      <w:bookmarkEnd w:id="34"/>
    </w:p>
    <w:p w14:paraId="1AA33BAE">
      <w:pPr>
        <w:spacing w:line="360" w:lineRule="auto"/>
        <w:ind w:firstLine="561"/>
        <w:jc w:val="left"/>
        <w:rPr>
          <w:rFonts w:ascii="仿宋" w:hAnsi="仿宋" w:eastAsia="仿宋" w:cs="宋体"/>
          <w:sz w:val="32"/>
          <w:szCs w:val="32"/>
        </w:rPr>
      </w:pPr>
    </w:p>
    <w:p w14:paraId="7E9A0E4B">
      <w:pPr>
        <w:spacing w:line="360" w:lineRule="auto"/>
        <w:ind w:firstLine="561"/>
        <w:jc w:val="left"/>
        <w:rPr>
          <w:rFonts w:hint="eastAsia" w:ascii="仿宋" w:hAnsi="仿宋" w:eastAsia="仿宋" w:cs="宋体"/>
          <w:sz w:val="32"/>
          <w:szCs w:val="32"/>
        </w:rPr>
      </w:pPr>
      <w:r>
        <w:rPr>
          <w:rFonts w:hint="eastAsia" w:ascii="仿宋" w:hAnsi="仿宋" w:eastAsia="仿宋" w:cs="宋体"/>
          <w:sz w:val="32"/>
          <w:szCs w:val="32"/>
        </w:rPr>
        <w:t>高校毕业生对母校的评价对教学具有多维度指导意义。一方面，明确各院系、各教学环节的优势与短板，为精准优化提供数据支撑，避免教学改进盲目性；另一方面，结合就业趋势调整教学方向，能增强课程实用性与学生就业竞争力。同时，助力建立以学生反馈为核心的教学迭代机制，持续提升教学质量与学生满意度，推动教育教学良性发展 。</w:t>
      </w:r>
    </w:p>
    <w:p w14:paraId="76EFB8B8">
      <w:pPr>
        <w:ind w:firstLine="640" w:firstLineChars="200"/>
        <w:jc w:val="left"/>
        <w:outlineLvl w:val="0"/>
        <w:rPr>
          <w:rFonts w:ascii="黑体" w:hAnsi="黑体" w:eastAsia="黑体" w:cs="宋体"/>
          <w:bCs/>
          <w:sz w:val="32"/>
          <w:szCs w:val="32"/>
        </w:rPr>
      </w:pPr>
      <w:bookmarkStart w:id="35" w:name="_Toc26256"/>
      <w:r>
        <w:rPr>
          <w:rFonts w:hint="eastAsia" w:ascii="黑体" w:hAnsi="黑体" w:eastAsia="黑体" w:cs="宋体"/>
          <w:bCs/>
          <w:sz w:val="32"/>
          <w:szCs w:val="32"/>
        </w:rPr>
        <w:t>一、对母校的满意度</w:t>
      </w:r>
      <w:bookmarkEnd w:id="35"/>
    </w:p>
    <w:p w14:paraId="65C1E491">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20</w:t>
      </w:r>
      <w:r>
        <w:rPr>
          <w:rFonts w:ascii="仿宋" w:hAnsi="仿宋" w:eastAsia="仿宋" w:cs="宋体"/>
          <w:sz w:val="32"/>
          <w:szCs w:val="32"/>
        </w:rPr>
        <w:t>2</w:t>
      </w:r>
      <w:r>
        <w:rPr>
          <w:rFonts w:hint="eastAsia" w:ascii="仿宋" w:hAnsi="仿宋" w:eastAsia="仿宋" w:cs="宋体"/>
          <w:sz w:val="32"/>
          <w:szCs w:val="32"/>
          <w:lang w:val="en-US" w:eastAsia="zh-CN"/>
        </w:rPr>
        <w:t>5</w:t>
      </w:r>
      <w:r>
        <w:rPr>
          <w:rFonts w:hint="eastAsia" w:ascii="仿宋" w:hAnsi="仿宋" w:eastAsia="仿宋" w:cs="宋体"/>
          <w:sz w:val="32"/>
          <w:szCs w:val="32"/>
        </w:rPr>
        <w:t>届毕业生对母校的</w:t>
      </w:r>
      <w:r>
        <w:rPr>
          <w:rFonts w:hint="eastAsia" w:ascii="仿宋" w:hAnsi="仿宋" w:eastAsia="仿宋" w:cs="宋体"/>
          <w:sz w:val="32"/>
          <w:szCs w:val="32"/>
          <w:lang w:val="en-US" w:eastAsia="zh-CN"/>
        </w:rPr>
        <w:t>满意度中，非常满意度达到99.24</w:t>
      </w:r>
      <w:r>
        <w:rPr>
          <w:rFonts w:hint="eastAsia" w:ascii="仿宋" w:hAnsi="仿宋" w:eastAsia="仿宋" w:cs="宋体"/>
          <w:sz w:val="32"/>
          <w:szCs w:val="32"/>
        </w:rPr>
        <w:t>%</w:t>
      </w:r>
      <w:r>
        <w:rPr>
          <w:rFonts w:hint="eastAsia" w:ascii="仿宋" w:hAnsi="仿宋" w:eastAsia="仿宋" w:cs="宋体"/>
          <w:sz w:val="32"/>
          <w:szCs w:val="32"/>
          <w:lang w:val="en-US" w:eastAsia="zh-CN"/>
        </w:rPr>
        <w:t>,基本满意度为0.76%</w:t>
      </w:r>
      <w:r>
        <w:rPr>
          <w:rFonts w:hint="eastAsia" w:ascii="仿宋" w:hAnsi="仿宋" w:eastAsia="仿宋" w:cs="宋体"/>
          <w:sz w:val="32"/>
          <w:szCs w:val="32"/>
        </w:rPr>
        <w:t>。</w:t>
      </w:r>
    </w:p>
    <w:p w14:paraId="3BAA6253">
      <w:pPr>
        <w:jc w:val="left"/>
        <w:rPr>
          <w:rFonts w:ascii="微软雅黑" w:hAnsi="微软雅黑" w:eastAsia="微软雅黑" w:cs="微软雅黑"/>
          <w:sz w:val="28"/>
          <w:szCs w:val="21"/>
        </w:rPr>
      </w:pPr>
      <w:r>
        <w:drawing>
          <wp:inline distT="0" distB="0" distL="114300" distR="114300">
            <wp:extent cx="5106035" cy="3625215"/>
            <wp:effectExtent l="0" t="0" r="18415" b="13335"/>
            <wp:docPr id="1061" name="图表 1"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189ABED">
      <w:pPr>
        <w:jc w:val="center"/>
        <w:rPr>
          <w:rFonts w:ascii="黑体" w:hAnsi="黑体" w:eastAsia="黑体" w:cs="宋体"/>
          <w:b/>
          <w:bCs/>
          <w:sz w:val="32"/>
          <w:szCs w:val="32"/>
        </w:rPr>
      </w:pPr>
      <w:r>
        <w:rPr>
          <w:rFonts w:hint="eastAsia" w:ascii="黑体" w:hAnsi="黑体" w:eastAsia="黑体" w:cs="微软雅黑"/>
          <w:szCs w:val="21"/>
        </w:rPr>
        <w:t>图</w:t>
      </w:r>
      <w:r>
        <w:rPr>
          <w:rFonts w:ascii="黑体" w:hAnsi="黑体" w:eastAsia="黑体" w:cs="微软雅黑"/>
          <w:szCs w:val="21"/>
        </w:rPr>
        <w:t xml:space="preserve">5-1 </w:t>
      </w:r>
      <w:r>
        <w:rPr>
          <w:rFonts w:hint="eastAsia" w:ascii="黑体" w:hAnsi="黑体" w:eastAsia="黑体" w:cs="微软雅黑"/>
          <w:szCs w:val="21"/>
        </w:rPr>
        <w:t>2</w:t>
      </w:r>
      <w:r>
        <w:rPr>
          <w:rFonts w:ascii="黑体" w:hAnsi="黑体" w:eastAsia="黑体" w:cs="微软雅黑"/>
          <w:szCs w:val="21"/>
        </w:rPr>
        <w:t>02</w:t>
      </w:r>
      <w:r>
        <w:rPr>
          <w:rFonts w:hint="eastAsia" w:ascii="黑体" w:hAnsi="黑体" w:eastAsia="黑体" w:cs="微软雅黑"/>
          <w:szCs w:val="21"/>
          <w:lang w:val="en-US" w:eastAsia="zh-CN"/>
        </w:rPr>
        <w:t>5</w:t>
      </w:r>
      <w:r>
        <w:rPr>
          <w:rFonts w:hint="eastAsia" w:ascii="黑体" w:hAnsi="黑体" w:eastAsia="黑体" w:cs="微软雅黑"/>
          <w:szCs w:val="21"/>
        </w:rPr>
        <w:t>届毕业生对母校满意度</w:t>
      </w:r>
    </w:p>
    <w:p w14:paraId="78DC421E">
      <w:pPr>
        <w:ind w:firstLine="640" w:firstLineChars="200"/>
        <w:jc w:val="left"/>
        <w:outlineLvl w:val="0"/>
        <w:rPr>
          <w:rFonts w:hint="eastAsia" w:ascii="黑体" w:hAnsi="黑体" w:eastAsia="黑体" w:cs="宋体"/>
          <w:bCs/>
          <w:sz w:val="32"/>
          <w:szCs w:val="32"/>
        </w:rPr>
      </w:pPr>
    </w:p>
    <w:p w14:paraId="5A7ED378">
      <w:pPr>
        <w:ind w:firstLine="640" w:firstLineChars="200"/>
        <w:jc w:val="left"/>
        <w:outlineLvl w:val="0"/>
        <w:rPr>
          <w:rFonts w:ascii="黑体" w:hAnsi="黑体" w:eastAsia="黑体" w:cs="宋体"/>
          <w:bCs/>
          <w:sz w:val="32"/>
          <w:szCs w:val="32"/>
        </w:rPr>
      </w:pPr>
      <w:bookmarkStart w:id="36" w:name="_Toc32390"/>
      <w:r>
        <w:rPr>
          <w:rFonts w:hint="eastAsia" w:ascii="黑体" w:hAnsi="黑体" w:eastAsia="黑体" w:cs="宋体"/>
          <w:bCs/>
          <w:sz w:val="32"/>
          <w:szCs w:val="32"/>
        </w:rPr>
        <w:t>二、对母校教育教学的评价</w:t>
      </w:r>
      <w:bookmarkEnd w:id="36"/>
    </w:p>
    <w:p w14:paraId="0FCB423F">
      <w:pPr>
        <w:spacing w:line="360" w:lineRule="auto"/>
        <w:ind w:firstLine="321" w:firstLineChars="100"/>
        <w:outlineLvl w:val="0"/>
        <w:rPr>
          <w:rFonts w:ascii="楷体" w:hAnsi="楷体" w:eastAsia="楷体" w:cs="仿宋"/>
          <w:b/>
          <w:bCs/>
          <w:sz w:val="32"/>
          <w:szCs w:val="32"/>
        </w:rPr>
      </w:pPr>
      <w:bookmarkStart w:id="37" w:name="_Toc28375"/>
      <w:r>
        <w:rPr>
          <w:rFonts w:hint="eastAsia" w:ascii="楷体" w:hAnsi="楷体" w:eastAsia="楷体" w:cs="仿宋"/>
          <w:b/>
          <w:bCs/>
          <w:sz w:val="32"/>
          <w:szCs w:val="32"/>
        </w:rPr>
        <w:t>（一）专业课评价</w:t>
      </w:r>
      <w:bookmarkEnd w:id="37"/>
    </w:p>
    <w:p w14:paraId="7D5D5823">
      <w:pPr>
        <w:spacing w:line="360" w:lineRule="auto"/>
        <w:ind w:firstLine="561"/>
        <w:jc w:val="left"/>
        <w:rPr>
          <w:rFonts w:ascii="仿宋" w:hAnsi="仿宋" w:eastAsia="仿宋" w:cs="宋体"/>
          <w:sz w:val="32"/>
          <w:szCs w:val="32"/>
        </w:rPr>
      </w:pPr>
      <w:r>
        <w:rPr>
          <w:rFonts w:hint="eastAsia" w:ascii="仿宋" w:hAnsi="仿宋" w:eastAsia="仿宋" w:cs="宋体"/>
          <w:sz w:val="32"/>
          <w:szCs w:val="32"/>
        </w:rPr>
        <w:t>1．毕业生中，有</w:t>
      </w:r>
      <w:r>
        <w:rPr>
          <w:rFonts w:hint="eastAsia" w:ascii="仿宋" w:hAnsi="仿宋" w:eastAsia="仿宋" w:cs="宋体"/>
          <w:sz w:val="32"/>
          <w:szCs w:val="32"/>
          <w:lang w:val="en-US" w:eastAsia="zh-CN"/>
        </w:rPr>
        <w:t>96.64</w:t>
      </w:r>
      <w:r>
        <w:rPr>
          <w:rFonts w:hint="eastAsia" w:ascii="仿宋" w:hAnsi="仿宋" w:eastAsia="仿宋" w:cs="宋体"/>
          <w:sz w:val="32"/>
          <w:szCs w:val="32"/>
        </w:rPr>
        <w:t>%认为学校专业课的安排对实际工作价值很大，</w:t>
      </w:r>
      <w:r>
        <w:rPr>
          <w:rFonts w:hint="eastAsia" w:ascii="仿宋" w:hAnsi="仿宋" w:eastAsia="仿宋" w:cs="宋体"/>
          <w:sz w:val="32"/>
          <w:szCs w:val="32"/>
          <w:lang w:val="en-US" w:eastAsia="zh-CN"/>
        </w:rPr>
        <w:t>3.36</w:t>
      </w:r>
      <w:r>
        <w:rPr>
          <w:rFonts w:hint="eastAsia" w:ascii="仿宋" w:hAnsi="仿宋" w:eastAsia="仿宋" w:cs="宋体"/>
          <w:sz w:val="32"/>
          <w:szCs w:val="32"/>
        </w:rPr>
        <w:t>%认为价值较大。</w:t>
      </w:r>
    </w:p>
    <w:p w14:paraId="0D3F857C">
      <w:pPr>
        <w:spacing w:before="120" w:after="120" w:line="360" w:lineRule="auto"/>
        <w:jc w:val="center"/>
        <w:rPr>
          <w:rFonts w:ascii="Calibri" w:hAnsi="Calibri" w:eastAsia="宋体" w:cs="Times New Roman"/>
          <w:color w:val="FF0000"/>
          <w:sz w:val="28"/>
        </w:rPr>
      </w:pPr>
      <w:r>
        <w:drawing>
          <wp:inline distT="0" distB="0" distL="114300" distR="114300">
            <wp:extent cx="4427220" cy="2501900"/>
            <wp:effectExtent l="0" t="0" r="11430" b="12700"/>
            <wp:docPr id="1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585AC64">
      <w:pPr>
        <w:jc w:val="center"/>
        <w:rPr>
          <w:rFonts w:ascii="Calibri" w:hAnsi="Calibri" w:eastAsia="宋体" w:cs="Times New Roman"/>
          <w:color w:val="FF0000"/>
          <w:sz w:val="28"/>
        </w:rPr>
      </w:pPr>
      <w:r>
        <w:rPr>
          <w:rFonts w:hint="eastAsia" w:ascii="黑体" w:hAnsi="黑体" w:eastAsia="黑体" w:cs="微软雅黑"/>
          <w:szCs w:val="21"/>
        </w:rPr>
        <w:t>图</w:t>
      </w:r>
      <w:r>
        <w:rPr>
          <w:rFonts w:ascii="黑体" w:hAnsi="黑体" w:eastAsia="黑体" w:cs="微软雅黑"/>
          <w:szCs w:val="21"/>
        </w:rPr>
        <w:t xml:space="preserve">5-2 </w:t>
      </w:r>
      <w:r>
        <w:rPr>
          <w:rFonts w:hint="eastAsia" w:ascii="黑体" w:hAnsi="黑体" w:eastAsia="黑体" w:cs="微软雅黑"/>
          <w:szCs w:val="21"/>
        </w:rPr>
        <w:t>2</w:t>
      </w:r>
      <w:r>
        <w:rPr>
          <w:rFonts w:ascii="黑体" w:hAnsi="黑体" w:eastAsia="黑体" w:cs="微软雅黑"/>
          <w:szCs w:val="21"/>
        </w:rPr>
        <w:t>02</w:t>
      </w:r>
      <w:r>
        <w:rPr>
          <w:rFonts w:hint="eastAsia" w:ascii="黑体" w:hAnsi="黑体" w:eastAsia="黑体" w:cs="微软雅黑"/>
          <w:szCs w:val="21"/>
          <w:lang w:val="en-US" w:eastAsia="zh-CN"/>
        </w:rPr>
        <w:t>5</w:t>
      </w:r>
      <w:r>
        <w:rPr>
          <w:rFonts w:hint="eastAsia" w:ascii="黑体" w:hAnsi="黑体" w:eastAsia="黑体" w:cs="微软雅黑"/>
          <w:szCs w:val="21"/>
        </w:rPr>
        <w:t>届毕业生对专业课的评价</w:t>
      </w:r>
    </w:p>
    <w:p w14:paraId="7FE9105D">
      <w:pPr>
        <w:spacing w:before="120" w:after="120" w:line="360" w:lineRule="auto"/>
        <w:ind w:firstLine="640" w:firstLineChars="200"/>
        <w:rPr>
          <w:rFonts w:ascii="仿宋" w:hAnsi="仿宋" w:eastAsia="仿宋" w:cs="宋体"/>
          <w:sz w:val="32"/>
          <w:szCs w:val="32"/>
        </w:rPr>
      </w:pPr>
      <w:r>
        <w:rPr>
          <w:rFonts w:hint="eastAsia" w:ascii="仿宋" w:hAnsi="仿宋" w:eastAsia="仿宋" w:cs="宋体"/>
          <w:sz w:val="32"/>
          <w:szCs w:val="32"/>
        </w:rPr>
        <w:t>2．毕业生中，有</w:t>
      </w:r>
      <w:r>
        <w:rPr>
          <w:rFonts w:hint="eastAsia" w:ascii="仿宋" w:hAnsi="仿宋" w:eastAsia="仿宋" w:cs="宋体"/>
          <w:sz w:val="32"/>
          <w:szCs w:val="32"/>
          <w:lang w:val="en-US" w:eastAsia="zh-CN"/>
        </w:rPr>
        <w:t>80.51</w:t>
      </w:r>
      <w:r>
        <w:rPr>
          <w:rFonts w:hint="eastAsia" w:ascii="仿宋" w:hAnsi="仿宋" w:eastAsia="仿宋" w:cs="宋体"/>
          <w:sz w:val="32"/>
          <w:szCs w:val="32"/>
        </w:rPr>
        <w:t>%表示能够很好地掌握在校期间学习到的专业知识，</w:t>
      </w:r>
      <w:r>
        <w:rPr>
          <w:rFonts w:hint="eastAsia" w:ascii="仿宋" w:hAnsi="仿宋" w:eastAsia="仿宋" w:cs="宋体"/>
          <w:sz w:val="32"/>
          <w:szCs w:val="32"/>
          <w:lang w:val="en-US" w:eastAsia="zh-CN"/>
        </w:rPr>
        <w:t>19.21</w:t>
      </w:r>
      <w:r>
        <w:rPr>
          <w:rFonts w:hint="eastAsia" w:ascii="仿宋" w:hAnsi="仿宋" w:eastAsia="仿宋" w:cs="宋体"/>
          <w:sz w:val="32"/>
          <w:szCs w:val="32"/>
        </w:rPr>
        <w:t xml:space="preserve"> %表示掌握的较好，</w:t>
      </w:r>
      <w:r>
        <w:rPr>
          <w:rFonts w:ascii="仿宋" w:hAnsi="仿宋" w:eastAsia="仿宋" w:cs="宋体"/>
          <w:sz w:val="32"/>
          <w:szCs w:val="32"/>
        </w:rPr>
        <w:t>0.</w:t>
      </w:r>
      <w:r>
        <w:rPr>
          <w:rFonts w:hint="eastAsia" w:ascii="仿宋" w:hAnsi="仿宋" w:eastAsia="仿宋" w:cs="宋体"/>
          <w:sz w:val="32"/>
          <w:szCs w:val="32"/>
          <w:lang w:val="en-US" w:eastAsia="zh-CN"/>
        </w:rPr>
        <w:t>28</w:t>
      </w:r>
      <w:r>
        <w:rPr>
          <w:rFonts w:hint="eastAsia" w:ascii="仿宋" w:hAnsi="仿宋" w:eastAsia="仿宋" w:cs="宋体"/>
          <w:sz w:val="32"/>
          <w:szCs w:val="32"/>
        </w:rPr>
        <w:t xml:space="preserve"> %表示掌握的一般。</w:t>
      </w:r>
    </w:p>
    <w:p w14:paraId="4F772B88">
      <w:pPr>
        <w:spacing w:before="120" w:after="120" w:line="360" w:lineRule="auto"/>
        <w:jc w:val="center"/>
        <w:rPr>
          <w:rFonts w:ascii="Calibri" w:hAnsi="Calibri" w:eastAsia="宋体" w:cs="宋体"/>
          <w:b/>
          <w:bCs/>
          <w:color w:val="00B0F0"/>
          <w:spacing w:val="20"/>
          <w:sz w:val="24"/>
        </w:rPr>
      </w:pPr>
      <w:r>
        <w:drawing>
          <wp:inline distT="0" distB="0" distL="114300" distR="114300">
            <wp:extent cx="4405630" cy="2533650"/>
            <wp:effectExtent l="0" t="0" r="13970" b="0"/>
            <wp:docPr id="1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CD59C73">
      <w:pPr>
        <w:jc w:val="center"/>
        <w:rPr>
          <w:rFonts w:ascii="楷体" w:hAnsi="楷体" w:eastAsia="楷体" w:cs="仿宋"/>
          <w:b/>
          <w:bCs/>
          <w:sz w:val="32"/>
          <w:szCs w:val="32"/>
        </w:rPr>
      </w:pPr>
      <w:r>
        <w:rPr>
          <w:rFonts w:hint="eastAsia" w:ascii="黑体" w:hAnsi="黑体" w:eastAsia="黑体" w:cs="微软雅黑"/>
          <w:szCs w:val="21"/>
        </w:rPr>
        <w:t>图</w:t>
      </w:r>
      <w:r>
        <w:rPr>
          <w:rFonts w:ascii="黑体" w:hAnsi="黑体" w:eastAsia="黑体" w:cs="微软雅黑"/>
          <w:szCs w:val="21"/>
        </w:rPr>
        <w:t xml:space="preserve">5-3 </w:t>
      </w:r>
      <w:r>
        <w:rPr>
          <w:rFonts w:hint="eastAsia" w:ascii="黑体" w:hAnsi="黑体" w:eastAsia="黑体" w:cs="微软雅黑"/>
          <w:szCs w:val="21"/>
        </w:rPr>
        <w:t>2</w:t>
      </w:r>
      <w:r>
        <w:rPr>
          <w:rFonts w:ascii="黑体" w:hAnsi="黑体" w:eastAsia="黑体" w:cs="微软雅黑"/>
          <w:szCs w:val="21"/>
        </w:rPr>
        <w:t>02</w:t>
      </w:r>
      <w:r>
        <w:rPr>
          <w:rFonts w:hint="eastAsia" w:ascii="黑体" w:hAnsi="黑体" w:eastAsia="黑体" w:cs="微软雅黑"/>
          <w:szCs w:val="21"/>
          <w:lang w:val="en-US" w:eastAsia="zh-CN"/>
        </w:rPr>
        <w:t>5</w:t>
      </w:r>
      <w:r>
        <w:rPr>
          <w:rFonts w:hint="eastAsia" w:ascii="黑体" w:hAnsi="黑体" w:eastAsia="黑体" w:cs="微软雅黑"/>
          <w:szCs w:val="21"/>
        </w:rPr>
        <w:t>届毕业生专业课掌握情况</w:t>
      </w:r>
    </w:p>
    <w:p w14:paraId="0C76B12B">
      <w:pPr>
        <w:spacing w:line="360" w:lineRule="auto"/>
        <w:ind w:firstLine="321" w:firstLineChars="100"/>
        <w:outlineLvl w:val="0"/>
        <w:rPr>
          <w:rFonts w:ascii="楷体" w:hAnsi="楷体" w:eastAsia="楷体" w:cs="仿宋"/>
          <w:b/>
          <w:bCs/>
          <w:sz w:val="32"/>
          <w:szCs w:val="32"/>
        </w:rPr>
      </w:pPr>
      <w:bookmarkStart w:id="38" w:name="_Toc22396"/>
      <w:r>
        <w:rPr>
          <w:rFonts w:hint="eastAsia" w:ascii="楷体" w:hAnsi="楷体" w:eastAsia="楷体" w:cs="仿宋"/>
          <w:b/>
          <w:bCs/>
          <w:sz w:val="32"/>
          <w:szCs w:val="32"/>
        </w:rPr>
        <w:t>（二）实践教学环节评价</w:t>
      </w:r>
      <w:bookmarkEnd w:id="38"/>
    </w:p>
    <w:p w14:paraId="1CDAE3B0">
      <w:pPr>
        <w:spacing w:before="120" w:after="120" w:line="360" w:lineRule="auto"/>
        <w:ind w:firstLine="640" w:firstLineChars="200"/>
        <w:rPr>
          <w:rFonts w:ascii="仿宋" w:hAnsi="仿宋" w:eastAsia="仿宋" w:cs="宋体"/>
          <w:sz w:val="32"/>
          <w:szCs w:val="32"/>
        </w:rPr>
      </w:pPr>
      <w:r>
        <w:rPr>
          <w:rFonts w:hint="eastAsia" w:ascii="仿宋" w:hAnsi="仿宋" w:eastAsia="仿宋" w:cs="宋体"/>
          <w:sz w:val="32"/>
          <w:szCs w:val="32"/>
        </w:rPr>
        <w:t>毕业生中，有</w:t>
      </w:r>
      <w:r>
        <w:rPr>
          <w:rFonts w:hint="eastAsia" w:ascii="仿宋" w:hAnsi="仿宋" w:eastAsia="仿宋" w:cs="宋体"/>
          <w:sz w:val="32"/>
          <w:szCs w:val="32"/>
          <w:lang w:val="en-US" w:eastAsia="zh-CN"/>
        </w:rPr>
        <w:t>89.69</w:t>
      </w:r>
      <w:r>
        <w:rPr>
          <w:rFonts w:hint="eastAsia" w:ascii="仿宋" w:hAnsi="仿宋" w:eastAsia="仿宋" w:cs="宋体"/>
          <w:sz w:val="32"/>
          <w:szCs w:val="32"/>
        </w:rPr>
        <w:t>%表示学校的实践教学安排很好，</w:t>
      </w:r>
      <w:r>
        <w:rPr>
          <w:rFonts w:hint="eastAsia" w:ascii="仿宋" w:hAnsi="仿宋" w:eastAsia="仿宋" w:cs="宋体"/>
          <w:sz w:val="32"/>
          <w:szCs w:val="32"/>
          <w:lang w:val="en-US" w:eastAsia="zh-CN"/>
        </w:rPr>
        <w:t>10.04</w:t>
      </w:r>
      <w:r>
        <w:rPr>
          <w:rFonts w:ascii="仿宋" w:hAnsi="仿宋" w:eastAsia="仿宋" w:cs="宋体"/>
          <w:sz w:val="32"/>
          <w:szCs w:val="32"/>
        </w:rPr>
        <w:t>%</w:t>
      </w:r>
      <w:r>
        <w:rPr>
          <w:rFonts w:hint="eastAsia" w:ascii="仿宋" w:hAnsi="仿宋" w:eastAsia="仿宋" w:cs="宋体"/>
          <w:sz w:val="32"/>
          <w:szCs w:val="32"/>
        </w:rPr>
        <w:t>表示安排的较好，</w:t>
      </w:r>
      <w:r>
        <w:rPr>
          <w:rFonts w:ascii="仿宋" w:hAnsi="仿宋" w:eastAsia="仿宋" w:cs="宋体"/>
          <w:sz w:val="32"/>
          <w:szCs w:val="32"/>
        </w:rPr>
        <w:t>0.24%</w:t>
      </w:r>
      <w:r>
        <w:rPr>
          <w:rFonts w:hint="eastAsia" w:ascii="仿宋" w:hAnsi="仿宋" w:eastAsia="仿宋" w:cs="宋体"/>
          <w:sz w:val="32"/>
          <w:szCs w:val="32"/>
        </w:rPr>
        <w:t>表示安排的一般。</w:t>
      </w:r>
    </w:p>
    <w:p w14:paraId="53221558">
      <w:pPr>
        <w:spacing w:before="120" w:after="120" w:line="360" w:lineRule="auto"/>
        <w:jc w:val="center"/>
        <w:rPr>
          <w:rFonts w:ascii="Calibri" w:hAnsi="Calibri" w:eastAsia="宋体" w:cs="Times New Roman"/>
          <w:color w:val="FF0000"/>
          <w:sz w:val="28"/>
        </w:rPr>
      </w:pPr>
      <w:r>
        <w:drawing>
          <wp:inline distT="0" distB="0" distL="114300" distR="114300">
            <wp:extent cx="4617720" cy="2702560"/>
            <wp:effectExtent l="0" t="0" r="11430" b="2540"/>
            <wp:docPr id="18"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159F9B3">
      <w:pPr>
        <w:jc w:val="center"/>
        <w:rPr>
          <w:rFonts w:ascii="楷体" w:hAnsi="楷体" w:eastAsia="楷体" w:cs="仿宋"/>
          <w:b/>
          <w:bCs/>
          <w:sz w:val="32"/>
          <w:szCs w:val="32"/>
        </w:rPr>
      </w:pPr>
      <w:r>
        <w:rPr>
          <w:rFonts w:hint="eastAsia" w:ascii="黑体" w:hAnsi="黑体" w:eastAsia="黑体" w:cs="微软雅黑"/>
          <w:szCs w:val="21"/>
        </w:rPr>
        <w:t>图</w:t>
      </w:r>
      <w:r>
        <w:rPr>
          <w:rFonts w:ascii="黑体" w:hAnsi="黑体" w:eastAsia="黑体" w:cs="微软雅黑"/>
          <w:szCs w:val="21"/>
        </w:rPr>
        <w:t xml:space="preserve">5-4 </w:t>
      </w:r>
      <w:r>
        <w:rPr>
          <w:rFonts w:hint="eastAsia" w:ascii="黑体" w:hAnsi="黑体" w:eastAsia="黑体" w:cs="微软雅黑"/>
          <w:szCs w:val="21"/>
        </w:rPr>
        <w:t>2</w:t>
      </w:r>
      <w:r>
        <w:rPr>
          <w:rFonts w:ascii="黑体" w:hAnsi="黑体" w:eastAsia="黑体" w:cs="微软雅黑"/>
          <w:szCs w:val="21"/>
        </w:rPr>
        <w:t>0</w:t>
      </w:r>
      <w:r>
        <w:rPr>
          <w:rFonts w:hint="eastAsia" w:ascii="黑体" w:hAnsi="黑体" w:eastAsia="黑体" w:cs="微软雅黑"/>
          <w:szCs w:val="21"/>
          <w:lang w:val="en-US" w:eastAsia="zh-CN"/>
        </w:rPr>
        <w:t>25</w:t>
      </w:r>
      <w:r>
        <w:rPr>
          <w:rFonts w:hint="eastAsia" w:ascii="黑体" w:hAnsi="黑体" w:eastAsia="黑体" w:cs="微软雅黑"/>
          <w:szCs w:val="21"/>
        </w:rPr>
        <w:t>届毕业生对实践教学</w:t>
      </w:r>
      <w:r>
        <w:rPr>
          <w:rFonts w:hint="eastAsia" w:ascii="黑体" w:hAnsi="黑体" w:eastAsia="黑体" w:cs="微软雅黑"/>
          <w:szCs w:val="21"/>
          <w:lang w:val="en-US" w:eastAsia="zh-CN"/>
        </w:rPr>
        <w:t>环节</w:t>
      </w:r>
      <w:r>
        <w:rPr>
          <w:rFonts w:hint="eastAsia" w:ascii="黑体" w:hAnsi="黑体" w:eastAsia="黑体" w:cs="微软雅黑"/>
          <w:szCs w:val="21"/>
        </w:rPr>
        <w:t>评价</w:t>
      </w:r>
    </w:p>
    <w:p w14:paraId="532BEB1B">
      <w:pPr>
        <w:spacing w:line="360" w:lineRule="auto"/>
        <w:ind w:firstLine="643" w:firstLineChars="200"/>
        <w:outlineLvl w:val="0"/>
        <w:rPr>
          <w:rFonts w:ascii="楷体" w:hAnsi="楷体" w:eastAsia="楷体" w:cs="仿宋"/>
          <w:b/>
          <w:bCs/>
          <w:sz w:val="32"/>
          <w:szCs w:val="32"/>
        </w:rPr>
      </w:pPr>
      <w:bookmarkStart w:id="39" w:name="_Toc2614"/>
      <w:r>
        <w:rPr>
          <w:rFonts w:hint="eastAsia" w:ascii="楷体" w:hAnsi="楷体" w:eastAsia="楷体" w:cs="仿宋"/>
          <w:b/>
          <w:bCs/>
          <w:sz w:val="32"/>
          <w:szCs w:val="32"/>
        </w:rPr>
        <w:t>（三）任课教师评价</w:t>
      </w:r>
      <w:bookmarkEnd w:id="39"/>
    </w:p>
    <w:p w14:paraId="52F1BF23">
      <w:pPr>
        <w:spacing w:before="120" w:after="120" w:line="360" w:lineRule="auto"/>
        <w:ind w:firstLine="640" w:firstLineChars="200"/>
        <w:rPr>
          <w:rFonts w:ascii="仿宋" w:hAnsi="仿宋" w:eastAsia="仿宋" w:cs="宋体"/>
          <w:sz w:val="32"/>
          <w:szCs w:val="32"/>
        </w:rPr>
      </w:pPr>
      <w:r>
        <w:rPr>
          <w:rFonts w:hint="eastAsia" w:ascii="仿宋" w:hAnsi="仿宋" w:eastAsia="仿宋" w:cs="宋体"/>
          <w:sz w:val="32"/>
          <w:szCs w:val="32"/>
        </w:rPr>
        <w:t>毕业生中，有</w:t>
      </w:r>
      <w:r>
        <w:rPr>
          <w:rFonts w:hint="eastAsia" w:ascii="仿宋" w:hAnsi="仿宋" w:eastAsia="仿宋" w:cs="宋体"/>
          <w:sz w:val="32"/>
          <w:szCs w:val="32"/>
          <w:lang w:val="en-US" w:eastAsia="zh-CN"/>
        </w:rPr>
        <w:t>91.52</w:t>
      </w:r>
      <w:r>
        <w:rPr>
          <w:rFonts w:ascii="仿宋" w:hAnsi="仿宋" w:eastAsia="仿宋" w:cs="宋体"/>
          <w:sz w:val="32"/>
          <w:szCs w:val="32"/>
        </w:rPr>
        <w:t>%</w:t>
      </w:r>
      <w:r>
        <w:rPr>
          <w:rFonts w:hint="eastAsia" w:ascii="仿宋" w:hAnsi="仿宋" w:eastAsia="仿宋" w:cs="宋体"/>
          <w:sz w:val="32"/>
          <w:szCs w:val="32"/>
        </w:rPr>
        <w:t>认为老师教学方法和教学效果非常满意，</w:t>
      </w:r>
      <w:r>
        <w:rPr>
          <w:rFonts w:hint="eastAsia" w:ascii="仿宋" w:hAnsi="仿宋" w:eastAsia="仿宋" w:cs="宋体"/>
          <w:sz w:val="32"/>
          <w:szCs w:val="32"/>
          <w:lang w:val="en-US" w:eastAsia="zh-CN"/>
        </w:rPr>
        <w:t>8.48</w:t>
      </w:r>
      <w:r>
        <w:rPr>
          <w:rFonts w:ascii="仿宋" w:hAnsi="仿宋" w:eastAsia="仿宋" w:cs="宋体"/>
          <w:sz w:val="32"/>
          <w:szCs w:val="32"/>
        </w:rPr>
        <w:t>%</w:t>
      </w:r>
      <w:r>
        <w:rPr>
          <w:rFonts w:hint="eastAsia" w:ascii="仿宋" w:hAnsi="仿宋" w:eastAsia="仿宋" w:cs="宋体"/>
          <w:sz w:val="32"/>
          <w:szCs w:val="32"/>
        </w:rPr>
        <w:t>表示较满意。</w:t>
      </w:r>
    </w:p>
    <w:p w14:paraId="5F2790AB">
      <w:pPr>
        <w:spacing w:before="120" w:after="120" w:line="360" w:lineRule="auto"/>
        <w:ind w:firstLine="420" w:firstLineChars="200"/>
        <w:rPr>
          <w:rFonts w:ascii="宋体" w:hAnsi="宋体" w:eastAsia="宋体" w:cs="宋体"/>
          <w:sz w:val="28"/>
          <w:szCs w:val="28"/>
        </w:rPr>
      </w:pPr>
      <w:r>
        <w:drawing>
          <wp:inline distT="0" distB="0" distL="114300" distR="114300">
            <wp:extent cx="4572000" cy="2743200"/>
            <wp:effectExtent l="0" t="0" r="0" b="0"/>
            <wp:docPr id="1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388680F">
      <w:pPr>
        <w:jc w:val="center"/>
        <w:rPr>
          <w:rFonts w:ascii="微软雅黑" w:hAnsi="微软雅黑" w:eastAsia="微软雅黑" w:cs="微软雅黑"/>
          <w:sz w:val="28"/>
          <w:szCs w:val="21"/>
        </w:rPr>
      </w:pPr>
      <w:r>
        <w:rPr>
          <w:rFonts w:hint="eastAsia" w:ascii="黑体" w:hAnsi="黑体" w:eastAsia="黑体" w:cs="微软雅黑"/>
          <w:szCs w:val="21"/>
        </w:rPr>
        <w:t>图</w:t>
      </w:r>
      <w:r>
        <w:rPr>
          <w:rFonts w:ascii="黑体" w:hAnsi="黑体" w:eastAsia="黑体" w:cs="微软雅黑"/>
          <w:szCs w:val="21"/>
        </w:rPr>
        <w:t xml:space="preserve">5-5 </w:t>
      </w:r>
      <w:r>
        <w:rPr>
          <w:rFonts w:hint="eastAsia" w:ascii="黑体" w:hAnsi="黑体" w:eastAsia="黑体" w:cs="微软雅黑"/>
          <w:szCs w:val="21"/>
        </w:rPr>
        <w:t>2</w:t>
      </w:r>
      <w:r>
        <w:rPr>
          <w:rFonts w:ascii="黑体" w:hAnsi="黑体" w:eastAsia="黑体" w:cs="微软雅黑"/>
          <w:szCs w:val="21"/>
        </w:rPr>
        <w:t>02</w:t>
      </w:r>
      <w:r>
        <w:rPr>
          <w:rFonts w:hint="eastAsia" w:ascii="黑体" w:hAnsi="黑体" w:eastAsia="黑体" w:cs="微软雅黑"/>
          <w:szCs w:val="21"/>
          <w:lang w:val="en-US" w:eastAsia="zh-CN"/>
        </w:rPr>
        <w:t>5</w:t>
      </w:r>
      <w:r>
        <w:rPr>
          <w:rFonts w:hint="eastAsia" w:ascii="黑体" w:hAnsi="黑体" w:eastAsia="黑体" w:cs="微软雅黑"/>
          <w:szCs w:val="21"/>
        </w:rPr>
        <w:t>届毕业生对任课教师的评价</w:t>
      </w:r>
    </w:p>
    <w:p w14:paraId="3D978D60">
      <w:pPr>
        <w:ind w:firstLine="643" w:firstLineChars="200"/>
        <w:jc w:val="left"/>
        <w:outlineLvl w:val="0"/>
        <w:rPr>
          <w:rFonts w:ascii="黑体" w:hAnsi="黑体" w:eastAsia="黑体" w:cs="宋体"/>
          <w:b/>
          <w:bCs/>
          <w:sz w:val="32"/>
          <w:szCs w:val="32"/>
        </w:rPr>
      </w:pPr>
    </w:p>
    <w:p w14:paraId="23396935">
      <w:pPr>
        <w:ind w:firstLine="640" w:firstLineChars="200"/>
        <w:jc w:val="left"/>
        <w:outlineLvl w:val="0"/>
        <w:rPr>
          <w:rFonts w:ascii="黑体" w:hAnsi="黑体" w:eastAsia="黑体" w:cs="宋体"/>
          <w:bCs/>
          <w:sz w:val="32"/>
          <w:szCs w:val="32"/>
        </w:rPr>
      </w:pPr>
      <w:bookmarkStart w:id="40" w:name="_Toc8123"/>
      <w:r>
        <w:rPr>
          <w:rFonts w:hint="eastAsia" w:ascii="黑体" w:hAnsi="黑体" w:eastAsia="黑体" w:cs="宋体"/>
          <w:bCs/>
          <w:sz w:val="32"/>
          <w:szCs w:val="32"/>
        </w:rPr>
        <w:t>三、对教育教学的反馈建议</w:t>
      </w:r>
      <w:bookmarkEnd w:id="40"/>
    </w:p>
    <w:p w14:paraId="17B55314">
      <w:pPr>
        <w:spacing w:line="360" w:lineRule="auto"/>
        <w:ind w:firstLine="640" w:firstLineChars="200"/>
        <w:outlineLvl w:val="0"/>
        <w:rPr>
          <w:rFonts w:hint="eastAsia" w:ascii="楷体" w:hAnsi="楷体" w:eastAsia="楷体" w:cs="仿宋"/>
          <w:b/>
          <w:bCs/>
          <w:sz w:val="32"/>
          <w:szCs w:val="32"/>
        </w:rPr>
      </w:pPr>
      <w:bookmarkStart w:id="41" w:name="_Toc21830"/>
      <w:bookmarkStart w:id="42" w:name="_Toc3450"/>
      <w:bookmarkStart w:id="43" w:name="_Toc15103"/>
      <w:r>
        <w:rPr>
          <w:rFonts w:hint="eastAsia" w:ascii="仿宋" w:hAnsi="仿宋" w:eastAsia="仿宋" w:cs="宋体"/>
          <w:sz w:val="32"/>
          <w:szCs w:val="32"/>
        </w:rPr>
        <w:t>基于 “母校满意度” 和 “教学相关评价” 两类数据的深度分析，结合各院系、各教学维度的表现差异，形成以下针对性反馈建议，助力教育教学质量持续优化。</w:t>
      </w:r>
      <w:bookmarkEnd w:id="41"/>
      <w:bookmarkEnd w:id="42"/>
      <w:bookmarkEnd w:id="43"/>
    </w:p>
    <w:p w14:paraId="021F733A">
      <w:pPr>
        <w:spacing w:line="360" w:lineRule="auto"/>
        <w:ind w:firstLine="640" w:firstLineChars="200"/>
        <w:outlineLvl w:val="0"/>
        <w:rPr>
          <w:rFonts w:hint="eastAsia" w:ascii="仿宋" w:hAnsi="仿宋" w:eastAsia="仿宋" w:cs="宋体"/>
          <w:sz w:val="32"/>
          <w:szCs w:val="32"/>
        </w:rPr>
      </w:pPr>
      <w:bookmarkStart w:id="44" w:name="_Toc23553"/>
      <w:bookmarkStart w:id="45" w:name="_Toc29295"/>
      <w:bookmarkStart w:id="46" w:name="_Toc26347"/>
      <w:r>
        <w:rPr>
          <w:rFonts w:hint="eastAsia" w:ascii="仿宋" w:hAnsi="仿宋" w:eastAsia="仿宋" w:cs="宋体"/>
          <w:sz w:val="32"/>
          <w:szCs w:val="32"/>
        </w:rPr>
        <w:t>从数据来看，2025 届毕业生对学校教育教学工作整体满意度极高，核心指标表现优异，但存在局部优化空间：</w:t>
      </w:r>
      <w:bookmarkEnd w:id="44"/>
      <w:bookmarkEnd w:id="45"/>
      <w:bookmarkEnd w:id="46"/>
    </w:p>
    <w:p w14:paraId="303E55F9">
      <w:pPr>
        <w:spacing w:line="360" w:lineRule="auto"/>
        <w:ind w:firstLine="640" w:firstLineChars="200"/>
        <w:outlineLvl w:val="0"/>
        <w:rPr>
          <w:rFonts w:hint="eastAsia" w:ascii="仿宋" w:hAnsi="仿宋" w:eastAsia="仿宋" w:cs="宋体"/>
          <w:sz w:val="32"/>
          <w:szCs w:val="32"/>
        </w:rPr>
      </w:pPr>
      <w:bookmarkStart w:id="47" w:name="_Toc13530"/>
      <w:bookmarkStart w:id="48" w:name="_Toc26311"/>
      <w:bookmarkStart w:id="49" w:name="_Toc10435"/>
      <w:r>
        <w:rPr>
          <w:rFonts w:hint="eastAsia" w:ascii="仿宋" w:hAnsi="仿宋" w:eastAsia="仿宋" w:cs="宋体"/>
          <w:sz w:val="32"/>
          <w:szCs w:val="32"/>
        </w:rPr>
        <w:t>总体满意度：100% 毕业生对母校满意（非常满意 + 基本满意），教师评价（91.52% 非常满意）和实践教学安排（89.96% 认为很好）获得高度认可。</w:t>
      </w:r>
      <w:bookmarkEnd w:id="47"/>
      <w:bookmarkEnd w:id="48"/>
      <w:bookmarkEnd w:id="49"/>
    </w:p>
    <w:p w14:paraId="53C77674">
      <w:pPr>
        <w:spacing w:line="360" w:lineRule="auto"/>
        <w:ind w:firstLine="640" w:firstLineChars="200"/>
        <w:outlineLvl w:val="0"/>
        <w:rPr>
          <w:rFonts w:hint="eastAsia" w:ascii="仿宋" w:hAnsi="仿宋" w:eastAsia="仿宋" w:cs="宋体"/>
          <w:sz w:val="32"/>
          <w:szCs w:val="32"/>
        </w:rPr>
      </w:pPr>
      <w:bookmarkStart w:id="50" w:name="_Toc6180"/>
      <w:bookmarkStart w:id="51" w:name="_Toc19402"/>
      <w:bookmarkStart w:id="52" w:name="_Toc24351"/>
      <w:r>
        <w:rPr>
          <w:rFonts w:hint="eastAsia" w:ascii="仿宋" w:hAnsi="仿宋" w:eastAsia="仿宋" w:cs="宋体"/>
          <w:sz w:val="32"/>
          <w:szCs w:val="32"/>
        </w:rPr>
        <w:t>课程价值：</w:t>
      </w:r>
      <w:r>
        <w:rPr>
          <w:rFonts w:hint="eastAsia" w:ascii="仿宋" w:hAnsi="仿宋" w:eastAsia="仿宋" w:cs="宋体"/>
          <w:sz w:val="32"/>
          <w:szCs w:val="32"/>
          <w:lang w:val="en-US" w:eastAsia="zh-CN"/>
        </w:rPr>
        <w:t>100</w:t>
      </w:r>
      <w:r>
        <w:rPr>
          <w:rFonts w:hint="eastAsia" w:ascii="仿宋" w:hAnsi="仿宋" w:eastAsia="仿宋" w:cs="宋体"/>
          <w:sz w:val="32"/>
          <w:szCs w:val="32"/>
        </w:rPr>
        <w:t>% 毕业生认为专业课 “价值很大” 或 “价值较大”，课程设置与学生需求匹配度高。</w:t>
      </w:r>
      <w:bookmarkEnd w:id="50"/>
      <w:bookmarkEnd w:id="51"/>
      <w:bookmarkEnd w:id="52"/>
    </w:p>
    <w:p w14:paraId="18728D02">
      <w:pPr>
        <w:spacing w:line="360" w:lineRule="auto"/>
        <w:ind w:firstLine="640" w:firstLineChars="200"/>
        <w:outlineLvl w:val="0"/>
        <w:rPr>
          <w:rFonts w:hint="eastAsia" w:ascii="仿宋" w:hAnsi="仿宋" w:eastAsia="仿宋" w:cs="宋体"/>
          <w:sz w:val="32"/>
          <w:szCs w:val="32"/>
        </w:rPr>
      </w:pPr>
      <w:bookmarkStart w:id="53" w:name="_Toc17907"/>
      <w:bookmarkStart w:id="54" w:name="_Toc5008"/>
      <w:bookmarkStart w:id="55" w:name="_Toc17442"/>
      <w:r>
        <w:rPr>
          <w:rFonts w:hint="eastAsia" w:ascii="仿宋" w:hAnsi="仿宋" w:eastAsia="仿宋" w:cs="宋体"/>
          <w:sz w:val="32"/>
          <w:szCs w:val="32"/>
        </w:rPr>
        <w:t>学习效果：99.</w:t>
      </w:r>
      <w:r>
        <w:rPr>
          <w:rFonts w:hint="eastAsia" w:ascii="仿宋" w:hAnsi="仿宋" w:eastAsia="仿宋" w:cs="宋体"/>
          <w:sz w:val="32"/>
          <w:szCs w:val="32"/>
          <w:lang w:val="en-US" w:eastAsia="zh-CN"/>
        </w:rPr>
        <w:t>72</w:t>
      </w:r>
      <w:r>
        <w:rPr>
          <w:rFonts w:hint="eastAsia" w:ascii="仿宋" w:hAnsi="仿宋" w:eastAsia="仿宋" w:cs="宋体"/>
          <w:sz w:val="32"/>
          <w:szCs w:val="32"/>
        </w:rPr>
        <w:t>% 毕业生 “很好” 或 “较好” 掌握专业课知识，教学目标达成率优异。</w:t>
      </w:r>
      <w:bookmarkEnd w:id="53"/>
      <w:bookmarkEnd w:id="54"/>
      <w:bookmarkEnd w:id="55"/>
    </w:p>
    <w:p w14:paraId="6CE4AEDE">
      <w:pPr>
        <w:spacing w:line="360" w:lineRule="auto"/>
        <w:ind w:firstLine="640" w:firstLineChars="200"/>
        <w:outlineLvl w:val="0"/>
        <w:rPr>
          <w:rFonts w:hint="eastAsia" w:ascii="仿宋" w:hAnsi="仿宋" w:eastAsia="仿宋" w:cs="宋体"/>
          <w:sz w:val="32"/>
          <w:szCs w:val="32"/>
        </w:rPr>
      </w:pPr>
    </w:p>
    <w:p w14:paraId="50A1DA5D">
      <w:pPr>
        <w:spacing w:line="360" w:lineRule="auto"/>
        <w:ind w:firstLine="640" w:firstLineChars="200"/>
        <w:outlineLvl w:val="0"/>
        <w:rPr>
          <w:rFonts w:hint="eastAsia" w:ascii="仿宋" w:hAnsi="仿宋" w:eastAsia="仿宋" w:cs="宋体"/>
          <w:sz w:val="32"/>
          <w:szCs w:val="32"/>
        </w:rPr>
      </w:pPr>
    </w:p>
    <w:p w14:paraId="4EBA1779">
      <w:pPr>
        <w:spacing w:line="360" w:lineRule="auto"/>
        <w:ind w:firstLine="640" w:firstLineChars="200"/>
        <w:outlineLvl w:val="0"/>
        <w:rPr>
          <w:rFonts w:hint="eastAsia" w:ascii="仿宋" w:hAnsi="仿宋" w:eastAsia="仿宋" w:cs="宋体"/>
          <w:sz w:val="32"/>
          <w:szCs w:val="32"/>
        </w:rPr>
      </w:pPr>
    </w:p>
    <w:p w14:paraId="0C4D1A5B">
      <w:pPr>
        <w:spacing w:line="360" w:lineRule="auto"/>
        <w:ind w:firstLine="640" w:firstLineChars="200"/>
        <w:outlineLvl w:val="0"/>
        <w:rPr>
          <w:rFonts w:hint="eastAsia" w:ascii="仿宋" w:hAnsi="仿宋" w:eastAsia="仿宋" w:cs="宋体"/>
          <w:sz w:val="32"/>
          <w:szCs w:val="32"/>
        </w:rPr>
      </w:pPr>
    </w:p>
    <w:p w14:paraId="62872FEB">
      <w:pPr>
        <w:spacing w:line="360" w:lineRule="auto"/>
        <w:ind w:firstLine="640" w:firstLineChars="200"/>
        <w:outlineLvl w:val="0"/>
        <w:rPr>
          <w:rFonts w:hint="eastAsia" w:ascii="仿宋" w:hAnsi="仿宋" w:eastAsia="仿宋" w:cs="宋体"/>
          <w:sz w:val="32"/>
          <w:szCs w:val="32"/>
        </w:rPr>
      </w:pPr>
    </w:p>
    <w:p w14:paraId="1AF31A70">
      <w:pPr>
        <w:spacing w:line="360" w:lineRule="auto"/>
        <w:ind w:firstLine="640" w:firstLineChars="200"/>
        <w:outlineLvl w:val="0"/>
        <w:rPr>
          <w:rFonts w:hint="eastAsia" w:ascii="仿宋" w:hAnsi="仿宋" w:eastAsia="仿宋" w:cs="宋体"/>
          <w:sz w:val="32"/>
          <w:szCs w:val="32"/>
        </w:rPr>
      </w:pPr>
    </w:p>
    <w:p w14:paraId="56E1B4CB">
      <w:pPr>
        <w:spacing w:line="360" w:lineRule="auto"/>
        <w:ind w:firstLine="640" w:firstLineChars="200"/>
        <w:outlineLvl w:val="0"/>
        <w:rPr>
          <w:rFonts w:hint="eastAsia" w:ascii="仿宋" w:hAnsi="仿宋" w:eastAsia="仿宋" w:cs="宋体"/>
          <w:sz w:val="32"/>
          <w:szCs w:val="32"/>
        </w:rPr>
      </w:pPr>
    </w:p>
    <w:p w14:paraId="7D3AA4C6">
      <w:pPr>
        <w:spacing w:line="360" w:lineRule="auto"/>
        <w:outlineLvl w:val="0"/>
        <w:rPr>
          <w:rFonts w:hint="eastAsia" w:ascii="仿宋" w:hAnsi="仿宋" w:eastAsia="仿宋" w:cs="宋体"/>
          <w:sz w:val="32"/>
          <w:szCs w:val="32"/>
        </w:rPr>
      </w:pPr>
    </w:p>
    <w:p w14:paraId="2085DE8C">
      <w:pPr>
        <w:spacing w:line="720" w:lineRule="auto"/>
        <w:jc w:val="center"/>
        <w:outlineLvl w:val="0"/>
        <w:rPr>
          <w:rFonts w:cs="宋体" w:asciiTheme="majorEastAsia" w:hAnsiTheme="majorEastAsia" w:eastAsiaTheme="majorEastAsia"/>
          <w:b/>
          <w:bCs/>
          <w:sz w:val="44"/>
          <w:szCs w:val="44"/>
        </w:rPr>
      </w:pPr>
      <w:bookmarkStart w:id="56" w:name="_Toc27722"/>
      <w:r>
        <w:rPr>
          <w:rFonts w:hint="eastAsia" w:cs="宋体" w:asciiTheme="majorEastAsia" w:hAnsiTheme="majorEastAsia" w:eastAsiaTheme="majorEastAsia"/>
          <w:b/>
          <w:bCs/>
          <w:sz w:val="44"/>
          <w:szCs w:val="44"/>
        </w:rPr>
        <w:t>第六篇  就业创业典型事迹</w:t>
      </w:r>
      <w:bookmarkEnd w:id="56"/>
    </w:p>
    <w:p w14:paraId="3E144E32">
      <w:pPr>
        <w:spacing w:line="720" w:lineRule="auto"/>
        <w:jc w:val="center"/>
        <w:outlineLvl w:val="0"/>
        <w:rPr>
          <w:rFonts w:cs="宋体" w:asciiTheme="majorEastAsia" w:hAnsiTheme="majorEastAsia" w:eastAsiaTheme="majorEastAsia"/>
          <w:b/>
          <w:bCs/>
          <w:sz w:val="44"/>
          <w:szCs w:val="44"/>
          <w:highlight w:val="none"/>
        </w:rPr>
      </w:pPr>
      <w:bookmarkStart w:id="57" w:name="_Toc24559"/>
      <w:r>
        <w:rPr>
          <w:rFonts w:hint="eastAsia" w:ascii="黑体" w:hAnsi="黑体" w:eastAsia="黑体" w:cs="仿宋"/>
          <w:b/>
          <w:bCs/>
          <w:sz w:val="32"/>
          <w:szCs w:val="32"/>
          <w:highlight w:val="none"/>
        </w:rPr>
        <w:t>以技立身、以教报国</w:t>
      </w:r>
      <w:bookmarkEnd w:id="57"/>
    </w:p>
    <w:p w14:paraId="5C2908B7">
      <w:pPr>
        <w:spacing w:before="120" w:after="120" w:line="360" w:lineRule="auto"/>
        <w:ind w:firstLine="640" w:firstLineChars="200"/>
        <w:rPr>
          <w:rFonts w:hint="eastAsia" w:ascii="仿宋" w:hAnsi="仿宋" w:eastAsia="仿宋" w:cs="宋体"/>
          <w:sz w:val="32"/>
          <w:szCs w:val="32"/>
          <w:highlight w:val="none"/>
        </w:rPr>
      </w:pPr>
      <w:r>
        <w:rPr>
          <w:rFonts w:hint="eastAsia" w:ascii="仿宋" w:hAnsi="仿宋" w:eastAsia="仿宋" w:cs="宋体"/>
          <w:sz w:val="32"/>
          <w:szCs w:val="32"/>
          <w:highlight w:val="none"/>
        </w:rPr>
        <w:t>李熙来，2025年毕业于阜新高等专科学校，主修新能源汽车技术。在校期间，他表现优异，连续三年获得校级奖学金，并担任学生会干部，积极参与各类实践活动。毕业后，面对激烈的就业市场，李熙来并未急于求职，而是冷静分析自身优势与市场需求，毅然决定参加河北省职业教育教师招聘，最终成功入职省属重点学校，保定华中高级技工学校担汽车维修实训教师。</w:t>
      </w:r>
    </w:p>
    <w:p w14:paraId="23DDC739">
      <w:pPr>
        <w:spacing w:before="120" w:after="120" w:line="360" w:lineRule="auto"/>
        <w:rPr>
          <w:rFonts w:hint="eastAsia" w:ascii="仿宋" w:hAnsi="仿宋" w:eastAsia="仿宋" w:cs="宋体"/>
          <w:sz w:val="32"/>
          <w:szCs w:val="32"/>
          <w:highlight w:val="none"/>
        </w:rPr>
      </w:pPr>
      <w:r>
        <w:rPr>
          <w:rFonts w:hint="eastAsia" w:eastAsiaTheme="minorEastAsia"/>
          <w:lang w:eastAsia="zh-CN"/>
        </w:rPr>
        <w:drawing>
          <wp:inline distT="0" distB="0" distL="114300" distR="114300">
            <wp:extent cx="5258435" cy="3462655"/>
            <wp:effectExtent l="0" t="0" r="18415" b="4445"/>
            <wp:docPr id="25" name="图片 25" descr="微信图片_20251203102604_57_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微信图片_20251203102604_57_95"/>
                    <pic:cNvPicPr>
                      <a:picLocks noChangeAspect="1"/>
                    </pic:cNvPicPr>
                  </pic:nvPicPr>
                  <pic:blipFill>
                    <a:blip r:embed="rId47"/>
                    <a:stretch>
                      <a:fillRect/>
                    </a:stretch>
                  </pic:blipFill>
                  <pic:spPr>
                    <a:xfrm>
                      <a:off x="0" y="0"/>
                      <a:ext cx="5258435" cy="3462655"/>
                    </a:xfrm>
                    <a:prstGeom prst="rect">
                      <a:avLst/>
                    </a:prstGeom>
                  </pic:spPr>
                </pic:pic>
              </a:graphicData>
            </a:graphic>
          </wp:inline>
        </w:drawing>
      </w:r>
    </w:p>
    <w:p w14:paraId="36173255">
      <w:pPr>
        <w:spacing w:before="120" w:after="120" w:line="360" w:lineRule="auto"/>
        <w:ind w:firstLine="640" w:firstLineChars="200"/>
        <w:rPr>
          <w:rFonts w:hint="eastAsia" w:ascii="仿宋" w:hAnsi="仿宋" w:eastAsia="仿宋" w:cs="宋体"/>
          <w:sz w:val="32"/>
          <w:szCs w:val="32"/>
          <w:highlight w:val="none"/>
        </w:rPr>
      </w:pPr>
      <w:r>
        <w:rPr>
          <w:rFonts w:hint="eastAsia" w:ascii="仿宋" w:hAnsi="仿宋" w:eastAsia="仿宋" w:cs="宋体"/>
          <w:sz w:val="32"/>
          <w:szCs w:val="32"/>
          <w:highlight w:val="none"/>
        </w:rPr>
        <w:t>初到岗位，李熙来便面临诸多挑战：实训设备老旧、学生基础薄弱、课程内容与企业需求脱节。但他没有退缩，而是主动请缨，承担汽车实训中心改造任务。短短三个月，他带领团队完成设备检修与升级，将企业真实案例融入教学，课堂顿时“活”了起来。学生们在“技能大赛”“技能展示周”等项目中兴趣高涨，技能水平显著提升。</w:t>
      </w:r>
    </w:p>
    <w:p w14:paraId="5ECC7C75">
      <w:pPr>
        <w:spacing w:before="120" w:after="120" w:line="360" w:lineRule="auto"/>
        <w:ind w:firstLine="640" w:firstLineChars="200"/>
        <w:rPr>
          <w:rFonts w:hint="eastAsia" w:ascii="仿宋" w:hAnsi="仿宋" w:eastAsia="仿宋" w:cs="宋体"/>
          <w:sz w:val="32"/>
          <w:szCs w:val="32"/>
          <w:highlight w:val="none"/>
        </w:rPr>
      </w:pPr>
      <w:r>
        <w:rPr>
          <w:rFonts w:hint="eastAsia" w:ascii="仿宋" w:hAnsi="仿宋" w:eastAsia="仿宋" w:cs="宋体"/>
          <w:sz w:val="32"/>
          <w:szCs w:val="32"/>
          <w:highlight w:val="none"/>
        </w:rPr>
        <w:t>李熙来还积极拓展校企合作，先后与保定本地长城汽车、英利能源等知名企业建立“订单班”，引入企业导师与真实生产任务，实现“上课即上岗、作业即产品”。2025 年</w:t>
      </w:r>
      <w:r>
        <w:rPr>
          <w:rFonts w:hint="eastAsia" w:ascii="仿宋" w:hAnsi="仿宋" w:eastAsia="仿宋" w:cs="宋体"/>
          <w:sz w:val="32"/>
          <w:szCs w:val="32"/>
          <w:highlight w:val="none"/>
          <w:lang w:val="en-US" w:eastAsia="zh-CN"/>
        </w:rPr>
        <w:t>12月</w:t>
      </w:r>
      <w:r>
        <w:rPr>
          <w:rFonts w:hint="eastAsia" w:ascii="仿宋" w:hAnsi="仿宋" w:eastAsia="仿宋" w:cs="宋体"/>
          <w:sz w:val="32"/>
          <w:szCs w:val="32"/>
          <w:highlight w:val="none"/>
        </w:rPr>
        <w:t>，他</w:t>
      </w:r>
      <w:r>
        <w:rPr>
          <w:rFonts w:hint="eastAsia" w:ascii="仿宋" w:hAnsi="仿宋" w:eastAsia="仿宋" w:cs="宋体"/>
          <w:sz w:val="32"/>
          <w:szCs w:val="32"/>
          <w:highlight w:val="none"/>
          <w:lang w:val="en-US" w:eastAsia="zh-CN"/>
        </w:rPr>
        <w:t>参与</w:t>
      </w:r>
      <w:r>
        <w:rPr>
          <w:rFonts w:hint="eastAsia" w:ascii="仿宋" w:hAnsi="仿宋" w:eastAsia="仿宋" w:cs="宋体"/>
          <w:sz w:val="32"/>
          <w:szCs w:val="32"/>
          <w:highlight w:val="none"/>
        </w:rPr>
        <w:t>指导</w:t>
      </w:r>
      <w:r>
        <w:rPr>
          <w:rFonts w:hint="eastAsia" w:ascii="仿宋" w:hAnsi="仿宋" w:eastAsia="仿宋" w:cs="宋体"/>
          <w:sz w:val="32"/>
          <w:szCs w:val="32"/>
          <w:highlight w:val="none"/>
          <w:lang w:val="en-US" w:eastAsia="zh-CN"/>
        </w:rPr>
        <w:t>的</w:t>
      </w:r>
      <w:r>
        <w:rPr>
          <w:rFonts w:hint="eastAsia" w:ascii="仿宋" w:hAnsi="仿宋" w:eastAsia="仿宋" w:cs="宋体"/>
          <w:sz w:val="32"/>
          <w:szCs w:val="32"/>
          <w:highlight w:val="none"/>
        </w:rPr>
        <w:t>学生参加河北省职业院校技能大赛保定市赛选拔赛，一举夺得汽车维修中职技工院校项团体一等奖，打破该校近三年来省市级金牌“零”的记录。赛后，企业当场向获奖学生抛出橄榄枝，就业率与薪资水平双双飙升。</w:t>
      </w:r>
    </w:p>
    <w:p w14:paraId="5703FA8F">
      <w:pPr>
        <w:spacing w:before="120" w:after="120" w:line="360" w:lineRule="auto"/>
        <w:ind w:firstLine="640" w:firstLineChars="200"/>
        <w:rPr>
          <w:rFonts w:hint="eastAsia" w:ascii="仿宋" w:hAnsi="仿宋" w:eastAsia="仿宋" w:cs="宋体"/>
          <w:color w:val="FF0000"/>
          <w:sz w:val="32"/>
          <w:szCs w:val="32"/>
          <w:highlight w:val="none"/>
        </w:rPr>
      </w:pPr>
      <w:r>
        <w:rPr>
          <w:rFonts w:hint="eastAsia" w:ascii="仿宋" w:hAnsi="仿宋" w:eastAsia="仿宋" w:cs="宋体"/>
          <w:color w:val="auto"/>
          <w:sz w:val="32"/>
          <w:szCs w:val="32"/>
          <w:highlight w:val="none"/>
        </w:rPr>
        <w:t>在教研方面，李熙来同样成果</w:t>
      </w:r>
      <w:r>
        <w:rPr>
          <w:rFonts w:hint="eastAsia" w:ascii="仿宋" w:hAnsi="仿宋" w:eastAsia="仿宋" w:cs="宋体"/>
          <w:color w:val="auto"/>
          <w:sz w:val="32"/>
          <w:szCs w:val="32"/>
          <w:highlight w:val="none"/>
          <w:lang w:val="en-US" w:eastAsia="zh-CN"/>
        </w:rPr>
        <w:t>丰硕</w:t>
      </w:r>
      <w:r>
        <w:rPr>
          <w:rFonts w:hint="eastAsia" w:ascii="仿宋" w:hAnsi="仿宋" w:eastAsia="仿宋" w:cs="宋体"/>
          <w:sz w:val="32"/>
          <w:szCs w:val="32"/>
          <w:highlight w:val="none"/>
        </w:rPr>
        <w:t>。</w:t>
      </w:r>
      <w:r>
        <w:rPr>
          <w:rFonts w:hint="eastAsia" w:ascii="仿宋" w:hAnsi="仿宋" w:eastAsia="仿宋" w:cs="宋体"/>
          <w:sz w:val="32"/>
          <w:szCs w:val="32"/>
          <w:highlight w:val="none"/>
          <w:lang w:val="en-US" w:eastAsia="zh-CN"/>
        </w:rPr>
        <w:t>2025年10月</w:t>
      </w:r>
      <w:r>
        <w:rPr>
          <w:rFonts w:hint="eastAsia" w:ascii="仿宋" w:hAnsi="仿宋" w:eastAsia="仿宋" w:cs="宋体"/>
          <w:sz w:val="32"/>
          <w:szCs w:val="32"/>
          <w:highlight w:val="none"/>
        </w:rPr>
        <w:t>他主持申报的《“工学一体化课堂”》被河北省《保定华中技工学校》立项为重点教改课题。参加《保定华中高级技工学校》学校优秀公开课，取得“优秀青年教师称号”</w:t>
      </w:r>
      <w:r>
        <w:rPr>
          <w:rFonts w:hint="eastAsia" w:ascii="仿宋" w:hAnsi="仿宋" w:eastAsia="仿宋" w:cs="宋体"/>
          <w:sz w:val="32"/>
          <w:szCs w:val="32"/>
          <w:highlight w:val="none"/>
          <w:lang w:eastAsia="zh-CN"/>
        </w:rPr>
        <w:t>。</w:t>
      </w:r>
      <w:r>
        <w:rPr>
          <w:rFonts w:hint="eastAsia" w:ascii="仿宋" w:hAnsi="仿宋" w:eastAsia="仿宋" w:cs="宋体"/>
          <w:sz w:val="32"/>
          <w:szCs w:val="32"/>
          <w:highlight w:val="none"/>
        </w:rPr>
        <w:t>因教学业绩突出，</w:t>
      </w:r>
      <w:r>
        <w:rPr>
          <w:rFonts w:hint="eastAsia" w:ascii="仿宋" w:hAnsi="仿宋" w:eastAsia="仿宋" w:cs="宋体"/>
          <w:color w:val="auto"/>
          <w:sz w:val="32"/>
          <w:szCs w:val="32"/>
          <w:highlight w:val="none"/>
        </w:rPr>
        <w:t>2025 年</w:t>
      </w:r>
      <w:r>
        <w:rPr>
          <w:rFonts w:hint="eastAsia" w:ascii="仿宋" w:hAnsi="仿宋" w:eastAsia="仿宋" w:cs="宋体"/>
          <w:color w:val="auto"/>
          <w:sz w:val="32"/>
          <w:szCs w:val="32"/>
          <w:highlight w:val="none"/>
          <w:lang w:val="en-US" w:eastAsia="zh-CN"/>
        </w:rPr>
        <w:t>11月</w:t>
      </w:r>
      <w:r>
        <w:rPr>
          <w:rFonts w:hint="eastAsia" w:ascii="仿宋" w:hAnsi="仿宋" w:eastAsia="仿宋" w:cs="宋体"/>
          <w:color w:val="auto"/>
          <w:sz w:val="32"/>
          <w:szCs w:val="32"/>
          <w:highlight w:val="none"/>
        </w:rPr>
        <w:t>，学校破格推荐他参加河北省青年教师技能等级提升，成为全省最年轻的高级“双师型”教师。</w:t>
      </w:r>
    </w:p>
    <w:p w14:paraId="53103A4C">
      <w:pPr>
        <w:spacing w:before="120" w:after="120" w:line="360" w:lineRule="auto"/>
        <w:ind w:firstLine="640" w:firstLineChars="200"/>
        <w:rPr>
          <w:rFonts w:hint="eastAsia" w:ascii="仿宋" w:hAnsi="仿宋" w:eastAsia="仿宋" w:cs="宋体"/>
          <w:sz w:val="32"/>
          <w:szCs w:val="32"/>
          <w:highlight w:val="none"/>
        </w:rPr>
      </w:pPr>
      <w:r>
        <w:rPr>
          <w:rFonts w:hint="eastAsia" w:ascii="仿宋" w:hAnsi="仿宋" w:eastAsia="仿宋" w:cs="宋体"/>
          <w:sz w:val="32"/>
          <w:szCs w:val="32"/>
          <w:highlight w:val="none"/>
        </w:rPr>
        <w:t>自从2024年夏开始校外实习到现在，李熙来完成一年聘期考核。凭借优异表现，学校党委会全票通过其转正申请，并破格聘任为汽车工程系教师，负责专业群建设与产教融合项目。面对荣誉，他始终保持谦逊：“我只是把母校阜新高专‘</w:t>
      </w:r>
      <w:r>
        <w:rPr>
          <w:rFonts w:hint="eastAsia" w:ascii="仿宋" w:hAnsi="仿宋" w:eastAsia="仿宋" w:cs="宋体"/>
          <w:sz w:val="32"/>
          <w:szCs w:val="32"/>
          <w:highlight w:val="none"/>
          <w:lang w:val="en-US" w:eastAsia="zh-CN"/>
        </w:rPr>
        <w:t>修德砺能</w:t>
      </w:r>
      <w:r>
        <w:rPr>
          <w:rFonts w:hint="eastAsia" w:ascii="仿宋" w:hAnsi="仿宋" w:eastAsia="仿宋" w:cs="宋体"/>
          <w:sz w:val="32"/>
          <w:szCs w:val="32"/>
          <w:highlight w:val="none"/>
        </w:rPr>
        <w:t>’的校训带到了保定，让更多孩子看到技能改变人生的可能。”</w:t>
      </w:r>
    </w:p>
    <w:p w14:paraId="2737C761">
      <w:pPr>
        <w:spacing w:line="360" w:lineRule="auto"/>
        <w:ind w:firstLine="640" w:firstLineChars="200"/>
        <w:rPr>
          <w:rFonts w:ascii="仿宋" w:hAnsi="仿宋" w:eastAsia="仿宋" w:cs="宋体"/>
          <w:sz w:val="32"/>
          <w:szCs w:val="32"/>
          <w:highlight w:val="yellow"/>
        </w:rPr>
      </w:pPr>
      <w:r>
        <w:rPr>
          <w:rFonts w:hint="eastAsia" w:ascii="仿宋" w:hAnsi="仿宋" w:eastAsia="仿宋" w:cs="宋体"/>
          <w:sz w:val="32"/>
          <w:szCs w:val="32"/>
          <w:highlight w:val="none"/>
        </w:rPr>
        <w:t>李熙来的就业故事，正是新时代高职毕业生“以技立身、以教报国”的生动缩影。他用两年时间，从一名普通实习的实训教师成长为一名汽车</w:t>
      </w:r>
      <w:r>
        <w:rPr>
          <w:rFonts w:hint="eastAsia" w:ascii="仿宋" w:hAnsi="仿宋" w:eastAsia="仿宋" w:cs="宋体"/>
          <w:sz w:val="32"/>
          <w:szCs w:val="32"/>
          <w:highlight w:val="none"/>
          <w:lang w:val="en-US" w:eastAsia="zh-CN"/>
        </w:rPr>
        <w:t>教师</w:t>
      </w:r>
      <w:r>
        <w:rPr>
          <w:rFonts w:hint="eastAsia" w:ascii="仿宋" w:hAnsi="仿宋" w:eastAsia="仿宋" w:cs="宋体"/>
          <w:sz w:val="32"/>
          <w:szCs w:val="32"/>
          <w:highlight w:val="none"/>
        </w:rPr>
        <w:t>，不仅实现了个人价值，也为区域产业升级注入了强劲动能。</w:t>
      </w:r>
    </w:p>
    <w:p w14:paraId="217413AE">
      <w:pPr>
        <w:spacing w:line="360" w:lineRule="auto"/>
        <w:ind w:firstLine="480" w:firstLineChars="200"/>
        <w:rPr>
          <w:rFonts w:ascii="宋体" w:hAnsi="宋体" w:eastAsia="宋体" w:cs="宋体"/>
          <w:sz w:val="24"/>
          <w:highlight w:val="yellow"/>
        </w:rPr>
      </w:pPr>
    </w:p>
    <w:p w14:paraId="586DE38B">
      <w:pPr>
        <w:spacing w:line="360" w:lineRule="auto"/>
        <w:ind w:firstLine="480" w:firstLineChars="200"/>
        <w:rPr>
          <w:rFonts w:ascii="宋体" w:hAnsi="宋体" w:eastAsia="宋体" w:cs="宋体"/>
          <w:sz w:val="24"/>
          <w:highlight w:val="yellow"/>
        </w:rPr>
      </w:pPr>
    </w:p>
    <w:p w14:paraId="617DD7DA">
      <w:pPr>
        <w:spacing w:line="360" w:lineRule="auto"/>
        <w:ind w:firstLine="480" w:firstLineChars="200"/>
        <w:rPr>
          <w:rFonts w:ascii="宋体" w:hAnsi="宋体" w:eastAsia="宋体" w:cs="宋体"/>
          <w:sz w:val="24"/>
          <w:highlight w:val="yellow"/>
        </w:rPr>
      </w:pPr>
    </w:p>
    <w:p w14:paraId="2F787A7A">
      <w:pPr>
        <w:spacing w:line="360" w:lineRule="auto"/>
        <w:ind w:firstLine="480" w:firstLineChars="200"/>
        <w:rPr>
          <w:rFonts w:ascii="宋体" w:hAnsi="宋体" w:eastAsia="宋体" w:cs="宋体"/>
          <w:sz w:val="24"/>
          <w:highlight w:val="yellow"/>
        </w:rPr>
      </w:pPr>
    </w:p>
    <w:p w14:paraId="5A27B0FF">
      <w:pPr>
        <w:spacing w:line="360" w:lineRule="auto"/>
        <w:ind w:firstLine="480" w:firstLineChars="200"/>
        <w:rPr>
          <w:rFonts w:ascii="宋体" w:hAnsi="宋体" w:eastAsia="宋体" w:cs="宋体"/>
          <w:sz w:val="24"/>
          <w:highlight w:val="yellow"/>
        </w:rPr>
      </w:pPr>
    </w:p>
    <w:p w14:paraId="2773BE3B">
      <w:pPr>
        <w:spacing w:line="360" w:lineRule="auto"/>
        <w:ind w:firstLine="480" w:firstLineChars="200"/>
        <w:rPr>
          <w:rFonts w:ascii="宋体" w:hAnsi="宋体" w:eastAsia="宋体" w:cs="宋体"/>
          <w:sz w:val="24"/>
          <w:highlight w:val="yellow"/>
        </w:rPr>
      </w:pPr>
    </w:p>
    <w:p w14:paraId="1341994A">
      <w:pPr>
        <w:spacing w:line="360" w:lineRule="auto"/>
        <w:ind w:firstLine="480" w:firstLineChars="200"/>
        <w:rPr>
          <w:rFonts w:ascii="宋体" w:hAnsi="宋体" w:eastAsia="宋体" w:cs="宋体"/>
          <w:sz w:val="24"/>
          <w:highlight w:val="yellow"/>
        </w:rPr>
      </w:pPr>
    </w:p>
    <w:p w14:paraId="5B977D0A">
      <w:pPr>
        <w:spacing w:line="360" w:lineRule="auto"/>
        <w:ind w:firstLine="480" w:firstLineChars="200"/>
        <w:rPr>
          <w:rFonts w:ascii="宋体" w:hAnsi="宋体" w:eastAsia="宋体" w:cs="宋体"/>
          <w:sz w:val="24"/>
          <w:highlight w:val="yellow"/>
        </w:rPr>
      </w:pPr>
    </w:p>
    <w:p w14:paraId="20676904">
      <w:pPr>
        <w:spacing w:line="360" w:lineRule="auto"/>
        <w:ind w:firstLine="480" w:firstLineChars="200"/>
        <w:rPr>
          <w:rFonts w:ascii="宋体" w:hAnsi="宋体" w:eastAsia="宋体" w:cs="宋体"/>
          <w:sz w:val="24"/>
          <w:highlight w:val="yellow"/>
        </w:rPr>
      </w:pPr>
    </w:p>
    <w:p w14:paraId="15621AAF">
      <w:pPr>
        <w:spacing w:line="360" w:lineRule="auto"/>
        <w:ind w:firstLine="480" w:firstLineChars="200"/>
        <w:rPr>
          <w:rFonts w:ascii="宋体" w:hAnsi="宋体" w:eastAsia="宋体" w:cs="宋体"/>
          <w:sz w:val="24"/>
          <w:highlight w:val="yellow"/>
        </w:rPr>
      </w:pPr>
    </w:p>
    <w:p w14:paraId="2F215AC3">
      <w:pPr>
        <w:spacing w:line="360" w:lineRule="auto"/>
        <w:ind w:firstLine="480" w:firstLineChars="200"/>
        <w:rPr>
          <w:rFonts w:ascii="宋体" w:hAnsi="宋体" w:eastAsia="宋体" w:cs="宋体"/>
          <w:sz w:val="24"/>
          <w:highlight w:val="yellow"/>
        </w:rPr>
      </w:pPr>
    </w:p>
    <w:p w14:paraId="351EF69C">
      <w:pPr>
        <w:spacing w:line="360" w:lineRule="auto"/>
        <w:ind w:firstLine="480" w:firstLineChars="200"/>
        <w:rPr>
          <w:rFonts w:ascii="宋体" w:hAnsi="宋体" w:eastAsia="宋体" w:cs="宋体"/>
          <w:sz w:val="24"/>
          <w:highlight w:val="yellow"/>
        </w:rPr>
      </w:pPr>
    </w:p>
    <w:p w14:paraId="5402184C">
      <w:pPr>
        <w:spacing w:line="360" w:lineRule="auto"/>
        <w:ind w:firstLine="480" w:firstLineChars="200"/>
        <w:rPr>
          <w:rFonts w:ascii="宋体" w:hAnsi="宋体" w:eastAsia="宋体" w:cs="宋体"/>
          <w:sz w:val="24"/>
          <w:highlight w:val="yellow"/>
        </w:rPr>
      </w:pPr>
    </w:p>
    <w:p w14:paraId="6A7EE8E5">
      <w:pPr>
        <w:spacing w:line="360" w:lineRule="auto"/>
        <w:ind w:firstLine="480" w:firstLineChars="200"/>
        <w:rPr>
          <w:rFonts w:ascii="宋体" w:hAnsi="宋体" w:eastAsia="宋体" w:cs="宋体"/>
          <w:sz w:val="24"/>
          <w:highlight w:val="yellow"/>
        </w:rPr>
      </w:pPr>
    </w:p>
    <w:p w14:paraId="5932792A">
      <w:pPr>
        <w:spacing w:line="360" w:lineRule="auto"/>
        <w:ind w:firstLine="480" w:firstLineChars="200"/>
        <w:rPr>
          <w:rFonts w:ascii="宋体" w:hAnsi="宋体" w:eastAsia="宋体" w:cs="宋体"/>
          <w:sz w:val="24"/>
          <w:highlight w:val="yellow"/>
        </w:rPr>
      </w:pPr>
    </w:p>
    <w:p w14:paraId="14811A7E">
      <w:pPr>
        <w:spacing w:line="360" w:lineRule="auto"/>
        <w:ind w:firstLine="480" w:firstLineChars="200"/>
        <w:rPr>
          <w:rFonts w:ascii="宋体" w:hAnsi="宋体" w:eastAsia="宋体" w:cs="宋体"/>
          <w:sz w:val="24"/>
          <w:highlight w:val="yellow"/>
        </w:rPr>
      </w:pPr>
    </w:p>
    <w:p w14:paraId="09D4172F">
      <w:pPr>
        <w:spacing w:line="360" w:lineRule="auto"/>
        <w:ind w:firstLine="480" w:firstLineChars="200"/>
        <w:rPr>
          <w:rFonts w:ascii="宋体" w:hAnsi="宋体" w:eastAsia="宋体" w:cs="宋体"/>
          <w:sz w:val="24"/>
          <w:highlight w:val="yellow"/>
        </w:rPr>
      </w:pPr>
    </w:p>
    <w:p w14:paraId="0F716387">
      <w:pPr>
        <w:spacing w:line="360" w:lineRule="auto"/>
        <w:ind w:firstLine="480" w:firstLineChars="200"/>
        <w:rPr>
          <w:rFonts w:ascii="宋体" w:hAnsi="宋体" w:eastAsia="宋体" w:cs="宋体"/>
          <w:sz w:val="24"/>
          <w:highlight w:val="yellow"/>
        </w:rPr>
      </w:pPr>
      <w:r>
        <w:rPr>
          <w:rFonts w:hint="eastAsia" w:ascii="微软雅黑" w:hAnsi="微软雅黑" w:eastAsia="微软雅黑" w:cs="微软雅黑"/>
          <w:sz w:val="24"/>
        </w:rPr>
        <mc:AlternateContent>
          <mc:Choice Requires="wpg">
            <w:drawing>
              <wp:anchor distT="0" distB="0" distL="114300" distR="114300" simplePos="0" relativeHeight="251667456" behindDoc="0" locked="0" layoutInCell="1" allowOverlap="1">
                <wp:simplePos x="0" y="0"/>
                <wp:positionH relativeFrom="page">
                  <wp:posOffset>184785</wp:posOffset>
                </wp:positionH>
                <wp:positionV relativeFrom="page">
                  <wp:posOffset>5226050</wp:posOffset>
                </wp:positionV>
                <wp:extent cx="5034280" cy="1526540"/>
                <wp:effectExtent l="0" t="0" r="0" b="0"/>
                <wp:wrapNone/>
                <wp:docPr id="28" name="组合 28"/>
                <wp:cNvGraphicFramePr/>
                <a:graphic xmlns:a="http://schemas.openxmlformats.org/drawingml/2006/main">
                  <a:graphicData uri="http://schemas.microsoft.com/office/word/2010/wordprocessingGroup">
                    <wpg:wgp>
                      <wpg:cNvGrpSpPr/>
                      <wpg:grpSpPr>
                        <a:xfrm>
                          <a:off x="0" y="0"/>
                          <a:ext cx="5034280" cy="1526540"/>
                          <a:chOff x="0" y="-357287"/>
                          <a:chExt cx="5033997" cy="1323445"/>
                        </a:xfrm>
                      </wpg:grpSpPr>
                      <wpg:grpSp>
                        <wpg:cNvPr id="14" name="组合 14"/>
                        <wpg:cNvGrpSpPr/>
                        <wpg:grpSpPr>
                          <a:xfrm>
                            <a:off x="94891" y="595024"/>
                            <a:ext cx="4939106" cy="371134"/>
                            <a:chOff x="0" y="17054"/>
                            <a:chExt cx="4939106" cy="371134"/>
                          </a:xfrm>
                        </wpg:grpSpPr>
                        <wpg:grpSp>
                          <wpg:cNvPr id="29" name="组合 7"/>
                          <wpg:cNvGrpSpPr/>
                          <wpg:grpSpPr>
                            <a:xfrm>
                              <a:off x="0" y="69011"/>
                              <a:ext cx="3352632" cy="233680"/>
                              <a:chOff x="0" y="0"/>
                              <a:chExt cx="3352632" cy="233680"/>
                            </a:xfrm>
                          </wpg:grpSpPr>
                          <pic:pic xmlns:pic="http://schemas.openxmlformats.org/drawingml/2006/picture">
                            <pic:nvPicPr>
                              <pic:cNvPr id="32" name="图片 21"/>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29870" cy="233680"/>
                              </a:xfrm>
                              <a:prstGeom prst="rect">
                                <a:avLst/>
                              </a:prstGeom>
                            </pic:spPr>
                          </pic:pic>
                          <pic:pic xmlns:pic="http://schemas.openxmlformats.org/drawingml/2006/picture">
                            <pic:nvPicPr>
                              <pic:cNvPr id="34" name="图片 23"/>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3122762" y="0"/>
                                <a:ext cx="229870" cy="233680"/>
                              </a:xfrm>
                              <a:prstGeom prst="rect">
                                <a:avLst/>
                              </a:prstGeom>
                            </pic:spPr>
                          </pic:pic>
                          <pic:pic xmlns:pic="http://schemas.openxmlformats.org/drawingml/2006/picture">
                            <pic:nvPicPr>
                              <pic:cNvPr id="24" name="图片 24"/>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1431985" y="0"/>
                                <a:ext cx="229870" cy="233680"/>
                              </a:xfrm>
                              <a:prstGeom prst="rect">
                                <a:avLst/>
                              </a:prstGeom>
                            </pic:spPr>
                          </pic:pic>
                        </wpg:grpSp>
                        <wps:wsp>
                          <wps:cNvPr id="38" name="文本框 2"/>
                          <wps:cNvSpPr txBox="1">
                            <a:spLocks noChangeArrowheads="1"/>
                          </wps:cNvSpPr>
                          <wps:spPr bwMode="auto">
                            <a:xfrm>
                              <a:off x="232903" y="17054"/>
                              <a:ext cx="1061049" cy="370488"/>
                            </a:xfrm>
                            <a:prstGeom prst="rect">
                              <a:avLst/>
                            </a:prstGeom>
                            <a:noFill/>
                            <a:ln w="9525">
                              <a:noFill/>
                              <a:miter lim="800000"/>
                            </a:ln>
                          </wps:spPr>
                          <wps:txbx>
                            <w:txbxContent>
                              <w:p w14:paraId="2EC87FEB">
                                <w:pPr>
                                  <w:rPr>
                                    <w:rFonts w:hint="default" w:eastAsia="宋体"/>
                                    <w:sz w:val="24"/>
                                    <w:lang w:val="en-US" w:eastAsia="zh-CN"/>
                                  </w:rPr>
                                </w:pPr>
                                <w:r>
                                  <w:rPr>
                                    <w:rFonts w:hint="eastAsia"/>
                                    <w:sz w:val="18"/>
                                    <w:szCs w:val="15"/>
                                    <w:lang w:val="en-US" w:eastAsia="zh-CN"/>
                                  </w:rPr>
                                  <w:t>0418-2290900</w:t>
                                </w:r>
                              </w:p>
                            </w:txbxContent>
                          </wps:txbx>
                          <wps:bodyPr rot="0" vert="horz" wrap="square" lIns="91440" tIns="45720" rIns="91440" bIns="45720" anchor="t" anchorCtr="0">
                            <a:noAutofit/>
                          </wps:bodyPr>
                        </wps:wsp>
                        <wps:wsp>
                          <wps:cNvPr id="40" name="文本框 2"/>
                          <wps:cNvSpPr txBox="1">
                            <a:spLocks noChangeArrowheads="1"/>
                          </wps:cNvSpPr>
                          <wps:spPr bwMode="auto">
                            <a:xfrm>
                              <a:off x="1664898" y="17253"/>
                              <a:ext cx="1397479" cy="370935"/>
                            </a:xfrm>
                            <a:prstGeom prst="rect">
                              <a:avLst/>
                            </a:prstGeom>
                            <a:noFill/>
                            <a:ln w="9525">
                              <a:noFill/>
                              <a:miter lim="800000"/>
                            </a:ln>
                          </wps:spPr>
                          <wps:txbx>
                            <w:txbxContent>
                              <w:p w14:paraId="2C6A58C4">
                                <w:pPr>
                                  <w:rPr>
                                    <w:rFonts w:hint="default" w:eastAsia="宋体"/>
                                    <w:sz w:val="24"/>
                                    <w:lang w:val="en-US" w:eastAsia="zh-CN"/>
                                  </w:rPr>
                                </w:pPr>
                                <w:r>
                                  <w:rPr>
                                    <w:rFonts w:hint="eastAsia" w:ascii="方正准圆简体" w:eastAsia="方正准圆简体"/>
                                    <w:sz w:val="18"/>
                                    <w:szCs w:val="15"/>
                                    <w:lang w:val="en-US" w:eastAsia="zh-CN"/>
                                  </w:rPr>
                                  <w:t>辽宁省阜新市海州区育红路36号</w:t>
                                </w:r>
                              </w:p>
                            </w:txbxContent>
                          </wps:txbx>
                          <wps:bodyPr rot="0" vert="horz" wrap="square" lIns="91440" tIns="45720" rIns="91440" bIns="45720" anchor="t" anchorCtr="0">
                            <a:noAutofit/>
                          </wps:bodyPr>
                        </wps:wsp>
                        <wps:wsp>
                          <wps:cNvPr id="41" name="文本框 2"/>
                          <wps:cNvSpPr txBox="1">
                            <a:spLocks noChangeArrowheads="1"/>
                          </wps:cNvSpPr>
                          <wps:spPr bwMode="auto">
                            <a:xfrm>
                              <a:off x="3320582" y="82651"/>
                              <a:ext cx="1618524" cy="213050"/>
                            </a:xfrm>
                            <a:prstGeom prst="rect">
                              <a:avLst/>
                            </a:prstGeom>
                            <a:noFill/>
                            <a:ln w="9525">
                              <a:noFill/>
                              <a:miter lim="800000"/>
                            </a:ln>
                          </wps:spPr>
                          <wps:txbx>
                            <w:txbxContent>
                              <w:p w14:paraId="71DDA291">
                                <w:pPr>
                                  <w:spacing w:line="200" w:lineRule="exact"/>
                                  <w:rPr>
                                    <w:sz w:val="28"/>
                                  </w:rPr>
                                </w:pPr>
                                <w:r>
                                  <w:rPr>
                                    <w:rFonts w:hint="eastAsia" w:ascii="方正准圆简体" w:eastAsia="方正准圆简体"/>
                                    <w:sz w:val="20"/>
                                    <w:szCs w:val="15"/>
                                    <w:lang w:val="en-US" w:eastAsia="zh-CN"/>
                                  </w:rPr>
                                  <w:t>http://jyfxgz.jysd.com</w:t>
                                </w:r>
                              </w:p>
                            </w:txbxContent>
                          </wps:txbx>
                          <wps:bodyPr rot="0" vert="horz" wrap="square" lIns="91440" tIns="45720" rIns="91440" bIns="45720" anchor="t" anchorCtr="0">
                            <a:noAutofit/>
                          </wps:bodyPr>
                        </wps:wsp>
                      </wpg:grpSp>
                      <wpg:grpSp>
                        <wpg:cNvPr id="42" name="组合 6"/>
                        <wpg:cNvGrpSpPr/>
                        <wpg:grpSpPr>
                          <a:xfrm>
                            <a:off x="0" y="-357287"/>
                            <a:ext cx="4580627" cy="853302"/>
                            <a:chOff x="0" y="-357287"/>
                            <a:chExt cx="4580627" cy="853302"/>
                          </a:xfrm>
                        </wpg:grpSpPr>
                        <wps:wsp>
                          <wps:cNvPr id="43" name="文本框 2"/>
                          <wps:cNvSpPr txBox="1">
                            <a:spLocks noChangeArrowheads="1"/>
                          </wps:cNvSpPr>
                          <wps:spPr bwMode="auto">
                            <a:xfrm>
                              <a:off x="0" y="-357287"/>
                              <a:ext cx="3278321" cy="853302"/>
                            </a:xfrm>
                            <a:prstGeom prst="rect">
                              <a:avLst/>
                            </a:prstGeom>
                            <a:noFill/>
                            <a:ln w="9525">
                              <a:noFill/>
                              <a:miter lim="800000"/>
                            </a:ln>
                          </wps:spPr>
                          <wps:txbx>
                            <w:txbxContent>
                              <w:p w14:paraId="108B0DE0">
                                <w:pPr>
                                  <w:rPr>
                                    <w:rFonts w:hint="eastAsia"/>
                                    <w:sz w:val="18"/>
                                    <w:szCs w:val="15"/>
                                    <w:lang w:val="en-US" w:eastAsia="zh-CN"/>
                                  </w:rPr>
                                </w:pPr>
                                <w:r>
                                  <w:rPr>
                                    <w:rFonts w:hint="eastAsia"/>
                                    <w:sz w:val="18"/>
                                    <w:szCs w:val="18"/>
                                    <w:lang w:val="en-US" w:eastAsia="zh-CN"/>
                                  </w:rPr>
                                  <w:t xml:space="preserve">主    </w:t>
                                </w:r>
                                <w:r>
                                  <w:rPr>
                                    <w:rFonts w:hint="eastAsia"/>
                                    <w:sz w:val="18"/>
                                    <w:szCs w:val="15"/>
                                    <w:lang w:val="en-US" w:eastAsia="zh-CN"/>
                                  </w:rPr>
                                  <w:t>编：姜会学</w:t>
                                </w:r>
                              </w:p>
                              <w:p w14:paraId="2B3E0E3A">
                                <w:pPr>
                                  <w:rPr>
                                    <w:rFonts w:hint="eastAsia"/>
                                    <w:sz w:val="18"/>
                                    <w:szCs w:val="15"/>
                                    <w:lang w:val="en-US" w:eastAsia="zh-CN"/>
                                  </w:rPr>
                                </w:pPr>
                                <w:r>
                                  <w:rPr>
                                    <w:rFonts w:hint="eastAsia"/>
                                    <w:sz w:val="18"/>
                                    <w:szCs w:val="15"/>
                                    <w:lang w:val="en-US" w:eastAsia="zh-CN"/>
                                  </w:rPr>
                                  <w:t>责任编辑：张  宁</w:t>
                                </w:r>
                              </w:p>
                              <w:p w14:paraId="1A7F9592">
                                <w:pPr>
                                  <w:rPr>
                                    <w:rFonts w:hint="eastAsia"/>
                                    <w:sz w:val="18"/>
                                    <w:szCs w:val="15"/>
                                    <w:lang w:val="en-US" w:eastAsia="zh-CN"/>
                                  </w:rPr>
                                </w:pPr>
                                <w:r>
                                  <w:rPr>
                                    <w:rFonts w:hint="eastAsia"/>
                                    <w:sz w:val="18"/>
                                    <w:szCs w:val="15"/>
                                    <w:lang w:val="en-US" w:eastAsia="zh-CN"/>
                                  </w:rPr>
                                  <w:t>编    辑：庞大芳</w:t>
                                </w:r>
                              </w:p>
                              <w:p w14:paraId="14F0E765">
                                <w:pPr>
                                  <w:ind w:firstLine="900" w:firstLineChars="500"/>
                                  <w:rPr>
                                    <w:rFonts w:hint="default"/>
                                    <w:sz w:val="18"/>
                                    <w:szCs w:val="15"/>
                                    <w:lang w:val="en-US" w:eastAsia="zh-CN"/>
                                  </w:rPr>
                                </w:pPr>
                                <w:r>
                                  <w:rPr>
                                    <w:rFonts w:hint="eastAsia"/>
                                    <w:sz w:val="18"/>
                                    <w:szCs w:val="15"/>
                                    <w:lang w:val="en-US" w:eastAsia="zh-CN"/>
                                  </w:rPr>
                                  <w:t>裴学文</w:t>
                                </w:r>
                              </w:p>
                            </w:txbxContent>
                          </wps:txbx>
                          <wps:bodyPr rot="0" vert="horz" wrap="square" lIns="91440" tIns="45720" rIns="91440" bIns="45720" anchor="t" anchorCtr="0">
                            <a:noAutofit/>
                          </wps:bodyPr>
                        </wps:wsp>
                        <wps:wsp>
                          <wps:cNvPr id="44" name="直接连接符 29"/>
                          <wps:cNvCnPr/>
                          <wps:spPr>
                            <a:xfrm>
                              <a:off x="51759" y="483079"/>
                              <a:ext cx="4528868" cy="0"/>
                            </a:xfrm>
                            <a:prstGeom prst="line">
                              <a:avLst/>
                            </a:prstGeom>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_x0000_s1026" o:spid="_x0000_s1026" o:spt="203" style="position:absolute;left:0pt;margin-left:14.55pt;margin-top:411.5pt;height:120.2pt;width:396.4pt;mso-position-horizontal-relative:page;mso-position-vertical-relative:page;z-index:251667456;mso-width-relative:page;mso-height-relative:page;" coordorigin="0,-357287" coordsize="5033997,1323445" o:gfxdata="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">
                <o:lock v:ext="edit" aspectratio="f"/>
                <v:group id="_x0000_s1026" o:spid="_x0000_s1026" o:spt="203" style="position:absolute;left:94891;top:595024;height:371134;width:4939106;" coordorigin="0,17054" coordsize="4939106,371134" o:gfxdata="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TWXFr0AAADbAAAADwAAAAAAAAABACAAAAAiAAAAZHJzL2Rvd25yZXYueG1s&#10;UEsBAhQAFAAAAAgAh07iQDMvBZ47AAAAOQAAABUAAAAAAAAAAQAgAAAADAEAAGRycy9ncm91cHNo&#10;YXBleG1sLnhtbFBLBQYAAAAABgAGAGABAADJAwAAAAA=&#10;">
                  <o:lock v:ext="edit" aspectratio="f"/>
                  <v:group id="组合 7" o:spid="_x0000_s1026" o:spt="203" style="position:absolute;left:0;top:69011;height:233680;width:3352632;" coordsize="3352632,233680" o:gfxdata="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tWPI1vwAAANsAAAAPAAAAAAAAAAEAIAAAACIAAABkcnMvZG93bnJldi54&#10;bWxQSwECFAAUAAAACACHTuJAMy8FnjsAAAA5AAAAFQAAAAAAAAABACAAAAAOAQAAZHJzL2dyb3Vw&#10;c2hhcGV4bWwueG1sUEsFBgAAAAAGAAYAYAEAAMsDAAAAAA==&#10;">
                    <o:lock v:ext="edit" aspectratio="f"/>
                    <v:shape id="图片 21" o:spid="_x0000_s1026" o:spt="75" type="#_x0000_t75" style="position:absolute;left:0;top:0;height:233680;width:229870;" filled="f" o:preferrelative="t" stroked="f" coordsize="21600,21600" o:gfxdata="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mTEGq/&#10;AAAA2wAAAA8AAAAAAAAAAQAgAAAAIgAAAGRycy9kb3ducmV2LnhtbFBLAQIUABQAAAAIAIdO4kAz&#10;LwWeOwAAADkAAAAQAAAAAAAAAAEAIAAAAA4BAABkcnMvc2hhcGV4bWwueG1sUEsFBgAAAAAGAAYA&#10;WwEAALgDAAAAAA==&#10;">
                      <v:fill on="f" focussize="0,0"/>
                      <v:stroke on="f"/>
                      <v:imagedata r:id="rId48" o:title=""/>
                      <o:lock v:ext="edit" aspectratio="t"/>
                    </v:shape>
                    <v:shape id="图片 23" o:spid="_x0000_s1026" o:spt="75" type="#_x0000_t75" style="position:absolute;left:3122762;top:0;height:233680;width:229870;" filled="f" o:preferrelative="t" stroked="f" coordsize="21600,21600" o:gfxdata="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tXwL4A&#10;AADbAAAADwAAAAAAAAABACAAAAAiAAAAZHJzL2Rvd25yZXYueG1sUEsBAhQAFAAAAAgAh07iQDMv&#10;BZ47AAAAOQAAABAAAAAAAAAAAQAgAAAADQEAAGRycy9zaGFwZXhtbC54bWxQSwUGAAAAAAYABgBb&#10;AQAAtwMAAAAA&#10;">
                      <v:fill on="f" focussize="0,0"/>
                      <v:stroke on="f"/>
                      <v:imagedata r:id="rId49" o:title=""/>
                      <o:lock v:ext="edit" aspectratio="t"/>
                    </v:shape>
                    <v:shape id="_x0000_s1026" o:spid="_x0000_s1026" o:spt="75" type="#_x0000_t75" style="position:absolute;left:1431985;top:0;height:233680;width:229870;" filled="f" o:preferrelative="t" stroked="f" coordsize="21600,21600" o:gfxdata="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Z5kzr4A&#10;AADbAAAADwAAAAAAAAABACAAAAAiAAAAZHJzL2Rvd25yZXYueG1sUEsBAhQAFAAAAAgAh07iQDMv&#10;BZ47AAAAOQAAABAAAAAAAAAAAQAgAAAADQEAAGRycy9zaGFwZXhtbC54bWxQSwUGAAAAAAYABgBb&#10;AQAAtwMAAAAA&#10;">
                      <v:fill on="f" focussize="0,0"/>
                      <v:stroke on="f"/>
                      <v:imagedata r:id="rId50" o:title=""/>
                      <o:lock v:ext="edit" aspectratio="t"/>
                    </v:shape>
                  </v:group>
                  <v:shape id="文本框 2" o:spid="_x0000_s1026" o:spt="202" type="#_x0000_t202" style="position:absolute;left:232903;top:17054;height:370488;width:1061049;" filled="f" stroked="f" coordsize="21600,21600" o:gfxdata="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Zw1pC5AAAA2wAA&#10;AA8AAAAAAAAAAQAgAAAAIgAAAGRycy9kb3ducmV2LnhtbFBLAQIUABQAAAAIAIdO4kAzLwWeOwAA&#10;ADkAAAAQAAAAAAAAAAEAIAAAAAgBAABkcnMvc2hhcGV4bWwueG1sUEsFBgAAAAAGAAYAWwEAALID&#10;AAAAAA==&#10;">
                    <v:fill on="f" focussize="0,0"/>
                    <v:stroke on="f" miterlimit="8" joinstyle="miter"/>
                    <v:imagedata o:title=""/>
                    <o:lock v:ext="edit" aspectratio="f"/>
                    <v:textbox>
                      <w:txbxContent>
                        <w:p w14:paraId="2EC87FEB">
                          <w:pPr>
                            <w:rPr>
                              <w:rFonts w:hint="default" w:eastAsia="宋体"/>
                              <w:sz w:val="24"/>
                              <w:lang w:val="en-US" w:eastAsia="zh-CN"/>
                            </w:rPr>
                          </w:pPr>
                          <w:r>
                            <w:rPr>
                              <w:rFonts w:hint="eastAsia"/>
                              <w:sz w:val="18"/>
                              <w:szCs w:val="15"/>
                              <w:lang w:val="en-US" w:eastAsia="zh-CN"/>
                            </w:rPr>
                            <w:t>0418-2290900</w:t>
                          </w:r>
                        </w:p>
                      </w:txbxContent>
                    </v:textbox>
                  </v:shape>
                  <v:shape id="文本框 2" o:spid="_x0000_s1026" o:spt="202" type="#_x0000_t202" style="position:absolute;left:1664898;top:17253;height:370935;width:1397479;" filled="f" stroked="f" coordsize="21600,21600" o:gfxdata="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ACp67gAAADbAAAA&#10;DwAAAAAAAAABACAAAAAiAAAAZHJzL2Rvd25yZXYueG1sUEsBAhQAFAAAAAgAh07iQDMvBZ47AAAA&#10;OQAAABAAAAAAAAAAAQAgAAAABwEAAGRycy9zaGFwZXhtbC54bWxQSwUGAAAAAAYABgBbAQAAsQMA&#10;AAAA&#10;">
                    <v:fill on="f" focussize="0,0"/>
                    <v:stroke on="f" miterlimit="8" joinstyle="miter"/>
                    <v:imagedata o:title=""/>
                    <o:lock v:ext="edit" aspectratio="f"/>
                    <v:textbox>
                      <w:txbxContent>
                        <w:p w14:paraId="2C6A58C4">
                          <w:pPr>
                            <w:rPr>
                              <w:rFonts w:hint="default" w:eastAsia="宋体"/>
                              <w:sz w:val="24"/>
                              <w:lang w:val="en-US" w:eastAsia="zh-CN"/>
                            </w:rPr>
                          </w:pPr>
                          <w:r>
                            <w:rPr>
                              <w:rFonts w:hint="eastAsia" w:ascii="方正准圆简体" w:eastAsia="方正准圆简体"/>
                              <w:sz w:val="18"/>
                              <w:szCs w:val="15"/>
                              <w:lang w:val="en-US" w:eastAsia="zh-CN"/>
                            </w:rPr>
                            <w:t>辽宁省阜新市海州区育红路36号</w:t>
                          </w:r>
                        </w:p>
                      </w:txbxContent>
                    </v:textbox>
                  </v:shape>
                  <v:shape id="文本框 2" o:spid="_x0000_s1026" o:spt="202" type="#_x0000_t202" style="position:absolute;left:3320582;top:82651;height:213050;width:1618524;" filled="f" stroked="f" coordsize="21600,21600" o:gfxdata="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AxwvQAA&#10;ANsAAAAPAAAAAAAAAAEAIAAAACIAAABkcnMvZG93bnJldi54bWxQSwECFAAUAAAACACHTuJAMy8F&#10;njsAAAA5AAAAEAAAAAAAAAABACAAAAAMAQAAZHJzL3NoYXBleG1sLnhtbFBLBQYAAAAABgAGAFsB&#10;AAC2AwAAAAA=&#10;">
                    <v:fill on="f" focussize="0,0"/>
                    <v:stroke on="f" miterlimit="8" joinstyle="miter"/>
                    <v:imagedata o:title=""/>
                    <o:lock v:ext="edit" aspectratio="f"/>
                    <v:textbox>
                      <w:txbxContent>
                        <w:p w14:paraId="71DDA291">
                          <w:pPr>
                            <w:spacing w:line="200" w:lineRule="exact"/>
                            <w:rPr>
                              <w:sz w:val="28"/>
                            </w:rPr>
                          </w:pPr>
                          <w:r>
                            <w:rPr>
                              <w:rFonts w:hint="eastAsia" w:ascii="方正准圆简体" w:eastAsia="方正准圆简体"/>
                              <w:sz w:val="20"/>
                              <w:szCs w:val="15"/>
                              <w:lang w:val="en-US" w:eastAsia="zh-CN"/>
                            </w:rPr>
                            <w:t>http://jyfxgz.jysd.com</w:t>
                          </w:r>
                        </w:p>
                      </w:txbxContent>
                    </v:textbox>
                  </v:shape>
                </v:group>
                <v:group id="组合 6" o:spid="_x0000_s1026" o:spt="203" style="position:absolute;left:0;top:-357287;height:853302;width:4580627;" coordorigin="0,-357287" coordsize="4580627,853302" o:gfxdata="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I4XkvwAAANsAAAAPAAAAAAAAAAEAIAAAACIAAABkcnMvZG93bnJldi54&#10;bWxQSwECFAAUAAAACACHTuJAMy8FnjsAAAA5AAAAFQAAAAAAAAABACAAAAAOAQAAZHJzL2dyb3Vw&#10;c2hhcGV4bWwueG1sUEsFBgAAAAAGAAYAYAEAAMsDAAAAAA==&#10;">
                  <o:lock v:ext="edit" aspectratio="f"/>
                  <v:shape id="文本框 2" o:spid="_x0000_s1026" o:spt="202" type="#_x0000_t202" style="position:absolute;left:0;top:-357287;height:853302;width:3278321;" filled="f" stroked="f" coordsize="21600,21600" o:gfxdata="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0jecvQAA&#10;ANsAAAAPAAAAAAAAAAEAIAAAACIAAABkcnMvZG93bnJldi54bWxQSwECFAAUAAAACACHTuJAMy8F&#10;njsAAAA5AAAAEAAAAAAAAAABACAAAAAMAQAAZHJzL3NoYXBleG1sLnhtbFBLBQYAAAAABgAGAFsB&#10;AAC2AwAAAAA=&#10;">
                    <v:fill on="f" focussize="0,0"/>
                    <v:stroke on="f" miterlimit="8" joinstyle="miter"/>
                    <v:imagedata o:title=""/>
                    <o:lock v:ext="edit" aspectratio="f"/>
                    <v:textbox>
                      <w:txbxContent>
                        <w:p w14:paraId="108B0DE0">
                          <w:pPr>
                            <w:rPr>
                              <w:rFonts w:hint="eastAsia"/>
                              <w:sz w:val="18"/>
                              <w:szCs w:val="15"/>
                              <w:lang w:val="en-US" w:eastAsia="zh-CN"/>
                            </w:rPr>
                          </w:pPr>
                          <w:r>
                            <w:rPr>
                              <w:rFonts w:hint="eastAsia"/>
                              <w:sz w:val="18"/>
                              <w:szCs w:val="18"/>
                              <w:lang w:val="en-US" w:eastAsia="zh-CN"/>
                            </w:rPr>
                            <w:t xml:space="preserve">主    </w:t>
                          </w:r>
                          <w:r>
                            <w:rPr>
                              <w:rFonts w:hint="eastAsia"/>
                              <w:sz w:val="18"/>
                              <w:szCs w:val="15"/>
                              <w:lang w:val="en-US" w:eastAsia="zh-CN"/>
                            </w:rPr>
                            <w:t>编：姜会学</w:t>
                          </w:r>
                        </w:p>
                        <w:p w14:paraId="2B3E0E3A">
                          <w:pPr>
                            <w:rPr>
                              <w:rFonts w:hint="eastAsia"/>
                              <w:sz w:val="18"/>
                              <w:szCs w:val="15"/>
                              <w:lang w:val="en-US" w:eastAsia="zh-CN"/>
                            </w:rPr>
                          </w:pPr>
                          <w:r>
                            <w:rPr>
                              <w:rFonts w:hint="eastAsia"/>
                              <w:sz w:val="18"/>
                              <w:szCs w:val="15"/>
                              <w:lang w:val="en-US" w:eastAsia="zh-CN"/>
                            </w:rPr>
                            <w:t>责任编辑：张  宁</w:t>
                          </w:r>
                        </w:p>
                        <w:p w14:paraId="1A7F9592">
                          <w:pPr>
                            <w:rPr>
                              <w:rFonts w:hint="eastAsia"/>
                              <w:sz w:val="18"/>
                              <w:szCs w:val="15"/>
                              <w:lang w:val="en-US" w:eastAsia="zh-CN"/>
                            </w:rPr>
                          </w:pPr>
                          <w:r>
                            <w:rPr>
                              <w:rFonts w:hint="eastAsia"/>
                              <w:sz w:val="18"/>
                              <w:szCs w:val="15"/>
                              <w:lang w:val="en-US" w:eastAsia="zh-CN"/>
                            </w:rPr>
                            <w:t>编    辑：庞大芳</w:t>
                          </w:r>
                        </w:p>
                        <w:p w14:paraId="14F0E765">
                          <w:pPr>
                            <w:ind w:firstLine="900" w:firstLineChars="500"/>
                            <w:rPr>
                              <w:rFonts w:hint="default"/>
                              <w:sz w:val="18"/>
                              <w:szCs w:val="15"/>
                              <w:lang w:val="en-US" w:eastAsia="zh-CN"/>
                            </w:rPr>
                          </w:pPr>
                          <w:r>
                            <w:rPr>
                              <w:rFonts w:hint="eastAsia"/>
                              <w:sz w:val="18"/>
                              <w:szCs w:val="15"/>
                              <w:lang w:val="en-US" w:eastAsia="zh-CN"/>
                            </w:rPr>
                            <w:t>裴学文</w:t>
                          </w:r>
                        </w:p>
                      </w:txbxContent>
                    </v:textbox>
                  </v:shape>
                  <v:line id="直接连接符 29" o:spid="_x0000_s1026" o:spt="20" style="position:absolute;left:51759;top:483079;height:0;width:4528868;" filled="f" stroked="t" coordsize="21600,21600" o:gfxdata="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MzO6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group>
              </v:group>
            </w:pict>
          </mc:Fallback>
        </mc:AlternateContent>
      </w:r>
      <w:r>
        <w:drawing>
          <wp:anchor distT="0" distB="0" distL="114300" distR="114300" simplePos="0" relativeHeight="251669504" behindDoc="1" locked="0" layoutInCell="1" allowOverlap="1">
            <wp:simplePos x="0" y="0"/>
            <wp:positionH relativeFrom="page">
              <wp:posOffset>-46355</wp:posOffset>
            </wp:positionH>
            <wp:positionV relativeFrom="page">
              <wp:posOffset>99060</wp:posOffset>
            </wp:positionV>
            <wp:extent cx="7595870" cy="10744200"/>
            <wp:effectExtent l="0" t="0" r="5080" b="0"/>
            <wp:wrapNone/>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7595870" cy="10744200"/>
                    </a:xfrm>
                    <a:prstGeom prst="rect">
                      <a:avLst/>
                    </a:prstGeom>
                  </pic:spPr>
                </pic:pic>
              </a:graphicData>
            </a:graphic>
          </wp:anchor>
        </w:drawing>
      </w:r>
      <w:r>
        <w:rPr>
          <w:rFonts w:hint="eastAsia" w:eastAsia="宋体"/>
          <w:lang w:eastAsia="zh-CN"/>
        </w:rPr>
        <w:drawing>
          <wp:anchor distT="0" distB="0" distL="114300" distR="114300" simplePos="0" relativeHeight="251668480" behindDoc="0" locked="0" layoutInCell="1" allowOverlap="1">
            <wp:simplePos x="0" y="0"/>
            <wp:positionH relativeFrom="column">
              <wp:posOffset>-1076960</wp:posOffset>
            </wp:positionH>
            <wp:positionV relativeFrom="paragraph">
              <wp:posOffset>-252095</wp:posOffset>
            </wp:positionV>
            <wp:extent cx="2362200" cy="1685925"/>
            <wp:effectExtent l="0" t="0" r="0" b="9525"/>
            <wp:wrapTopAndBottom/>
            <wp:docPr id="27" name="图片 27" descr="ScreenShot_2025-12-03_143129_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ScreenShot_2025-12-03_143129_631"/>
                    <pic:cNvPicPr>
                      <a:picLocks noChangeAspect="1"/>
                    </pic:cNvPicPr>
                  </pic:nvPicPr>
                  <pic:blipFill>
                    <a:blip r:embed="rId52"/>
                    <a:stretch>
                      <a:fillRect/>
                    </a:stretch>
                  </pic:blipFill>
                  <pic:spPr>
                    <a:xfrm>
                      <a:off x="0" y="0"/>
                      <a:ext cx="2362200" cy="1685925"/>
                    </a:xfrm>
                    <a:prstGeom prst="rect">
                      <a:avLst/>
                    </a:prstGeom>
                  </pic:spPr>
                </pic:pic>
              </a:graphicData>
            </a:graphic>
          </wp:anchor>
        </w:drawing>
      </w:r>
    </w:p>
    <w:sectPr>
      <w:footerReference r:id="rId9" w:type="first"/>
      <w:footerReference r:id="rId8" w:type="default"/>
      <w:pgSz w:w="11906" w:h="16838"/>
      <w:pgMar w:top="1440" w:right="1797" w:bottom="1440" w:left="179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准圆简体">
    <w:altName w:val="宋体"/>
    <w:panose1 w:val="0201060103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D3359">
    <w:pPr>
      <w:pStyle w:val="4"/>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F61CBA">
                          <w:pPr>
                            <w:pStyle w:val="4"/>
                            <w:rPr>
                              <w:rFonts w:ascii="宋体" w:hAnsi="宋体" w:eastAsia="宋体"/>
                              <w:sz w:val="28"/>
                            </w:rPr>
                          </w:pP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6DF61CBA">
                    <w:pPr>
                      <w:pStyle w:val="4"/>
                      <w:rPr>
                        <w:rFonts w:ascii="宋体" w:hAnsi="宋体" w:eastAsia="宋体"/>
                        <w:sz w:val="28"/>
                      </w:rPr>
                    </w:pP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DE647">
    <w:pPr>
      <w:pStyle w:val="4"/>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F0F1CD9">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4F0F1CD9">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51A06">
    <w:pPr>
      <w:pStyle w:val="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ABFF4">
    <w:pPr>
      <w:pStyle w:val="4"/>
      <w:tabs>
        <w:tab w:val="center" w:pos="4216"/>
        <w:tab w:val="left" w:pos="4873"/>
      </w:tabs>
      <w:jc w:val="left"/>
      <w:rPr>
        <w:rFonts w:ascii="黑体" w:hAnsi="黑体" w:eastAsia="黑体" w:cs="黑体"/>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B1D6E28">
                          <w:pPr>
                            <w:pStyle w:val="4"/>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  \* MERGEFORMAT </w:instrText>
                          </w:r>
                          <w:r>
                            <w:rPr>
                              <w:rFonts w:hint="eastAsia" w:ascii="黑体" w:hAnsi="黑体" w:eastAsia="黑体" w:cs="黑体"/>
                              <w:sz w:val="21"/>
                              <w:szCs w:val="21"/>
                            </w:rPr>
                            <w:fldChar w:fldCharType="separate"/>
                          </w:r>
                          <w:r>
                            <w:rPr>
                              <w:rFonts w:hint="eastAsia" w:ascii="黑体" w:hAnsi="黑体" w:eastAsia="黑体" w:cs="黑体"/>
                              <w:sz w:val="21"/>
                              <w:szCs w:val="21"/>
                            </w:rPr>
                            <w:t>- 5 -</w:t>
                          </w:r>
                          <w:r>
                            <w:rPr>
                              <w:rFonts w:hint="eastAsia" w:ascii="黑体" w:hAnsi="黑体" w:eastAsia="黑体" w:cs="黑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3B1D6E28">
                    <w:pPr>
                      <w:pStyle w:val="4"/>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  \* MERGEFORMAT </w:instrText>
                    </w:r>
                    <w:r>
                      <w:rPr>
                        <w:rFonts w:hint="eastAsia" w:ascii="黑体" w:hAnsi="黑体" w:eastAsia="黑体" w:cs="黑体"/>
                        <w:sz w:val="21"/>
                        <w:szCs w:val="21"/>
                      </w:rPr>
                      <w:fldChar w:fldCharType="separate"/>
                    </w:r>
                    <w:r>
                      <w:rPr>
                        <w:rFonts w:hint="eastAsia" w:ascii="黑体" w:hAnsi="黑体" w:eastAsia="黑体" w:cs="黑体"/>
                        <w:sz w:val="21"/>
                        <w:szCs w:val="21"/>
                      </w:rPr>
                      <w:t>- 5 -</w:t>
                    </w:r>
                    <w:r>
                      <w:rPr>
                        <w:rFonts w:hint="eastAsia" w:ascii="黑体" w:hAnsi="黑体" w:eastAsia="黑体" w:cs="黑体"/>
                        <w:sz w:val="21"/>
                        <w:szCs w:val="21"/>
                      </w:rPr>
                      <w:fldChar w:fldCharType="end"/>
                    </w:r>
                  </w:p>
                </w:txbxContent>
              </v:textbox>
            </v:shape>
          </w:pict>
        </mc:Fallback>
      </mc:AlternateContent>
    </w:r>
    <w:r>
      <w:rPr>
        <w:rFonts w:hint="eastAsia" w:ascii="黑体" w:hAnsi="黑体" w:eastAsia="黑体" w:cs="黑体"/>
        <w:lang w:eastAsia="zh-CN"/>
      </w:rPr>
      <w:tab/>
      <w:t/>
    </w:r>
    <w:r>
      <w:rPr>
        <w:rFonts w:hint="eastAsia" w:ascii="黑体" w:hAnsi="黑体" w:eastAsia="黑体" w:cs="黑体"/>
        <w:lang w:eastAsia="zh-CN"/>
      </w:rPr>
      <w:tab/>
      <w:t/>
    </w:r>
    <w:r>
      <w:rPr>
        <w:rFonts w:hint="eastAsia" w:ascii="黑体" w:hAnsi="黑体" w:eastAsia="黑体" w:cs="黑体"/>
        <w:lang w:eastAsia="zh-CN"/>
      </w:rPr>
      <w:tab/>
      <w:t/>
    </w:r>
    <w:r>
      <w:rPr>
        <w:rFonts w:hint="eastAsia" w:ascii="黑体" w:hAnsi="黑体" w:eastAsia="黑体" w:cs="黑体"/>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6A8CF">
    <w:pPr>
      <w:pStyle w:val="4"/>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885F831">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5</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A3uL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KjA3uLeAgAAJgYAAA4AAAAAAAAAAQAgAAAAHwEAAGRycy9lMm9Eb2MueG1sUEsF&#10;BgAAAAAGAAYAWQEAAG8GAAAAAA==&#10;">
              <v:fill on="f" focussize="0,0"/>
              <v:stroke on="f" weight="0.5pt"/>
              <v:imagedata o:title=""/>
              <o:lock v:ext="edit" aspectratio="f"/>
              <v:textbox inset="0mm,0mm,0mm,0mm" style="mso-fit-shape-to-text:t;">
                <w:txbxContent>
                  <w:p w14:paraId="6885F831">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5</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4EAA3">
    <w:pPr>
      <w:pStyle w:val="5"/>
      <w:jc w:val="center"/>
      <w:rPr>
        <w:color w:val="ADB9CA" w:themeColor="text2" w:themeTint="66"/>
        <w14:textFill>
          <w14:solidFill>
            <w14:schemeClr w14:val="tx2">
              <w14:lumMod w14:val="40000"/>
              <w14:lumOff w14:val="60000"/>
            </w14:schemeClr>
          </w14:solidFill>
        </w14:textFill>
      </w:rPr>
    </w:pPr>
    <w:r>
      <w:rPr>
        <w:rFonts w:hint="eastAsia"/>
        <w:color w:val="ADB9CA" w:themeColor="text2" w:themeTint="66"/>
        <w14:textFill>
          <w14:solidFill>
            <w14:schemeClr w14:val="tx2">
              <w14:lumMod w14:val="40000"/>
              <w14:lumOff w14:val="60000"/>
            </w14:schemeClr>
          </w14:solidFill>
        </w14:textFill>
      </w:rPr>
      <w:t>阜新高等专科学校202</w:t>
    </w:r>
    <w:r>
      <w:rPr>
        <w:rFonts w:hint="eastAsia"/>
        <w:color w:val="ADB9CA" w:themeColor="text2" w:themeTint="66"/>
        <w:lang w:val="en-US" w:eastAsia="zh-CN"/>
        <w14:textFill>
          <w14:solidFill>
            <w14:schemeClr w14:val="tx2">
              <w14:lumMod w14:val="40000"/>
              <w14:lumOff w14:val="60000"/>
            </w14:schemeClr>
          </w14:solidFill>
        </w14:textFill>
      </w:rPr>
      <w:t>5</w:t>
    </w:r>
    <w:r>
      <w:rPr>
        <w:rFonts w:hint="eastAsia"/>
        <w:color w:val="ADB9CA" w:themeColor="text2" w:themeTint="66"/>
        <w14:textFill>
          <w14:solidFill>
            <w14:schemeClr w14:val="tx2">
              <w14:lumMod w14:val="40000"/>
              <w14:lumOff w14:val="60000"/>
            </w14:schemeClr>
          </w14:solidFill>
        </w14:textFill>
      </w:rPr>
      <w:t>年大专毕业生就业质量报告</w:t>
    </w:r>
  </w:p>
  <w:p w14:paraId="7B251CAB">
    <w:pPr>
      <w:pStyle w:val="5"/>
    </w:pPr>
    <w:r>
      <mc:AlternateContent>
        <mc:Choice Requires="wpg">
          <w:drawing>
            <wp:anchor distT="0" distB="0" distL="114300" distR="114300" simplePos="0" relativeHeight="251663360" behindDoc="0" locked="0" layoutInCell="1" allowOverlap="1">
              <wp:simplePos x="0" y="0"/>
              <wp:positionH relativeFrom="column">
                <wp:posOffset>-1141095</wp:posOffset>
              </wp:positionH>
              <wp:positionV relativeFrom="paragraph">
                <wp:posOffset>-292735</wp:posOffset>
              </wp:positionV>
              <wp:extent cx="1700530" cy="1024255"/>
              <wp:effectExtent l="0" t="0" r="0" b="5080"/>
              <wp:wrapNone/>
              <wp:docPr id="159" name="组 159"/>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s:wsp>
                      <wps:cNvPr id="160" name="矩形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1" name="矩形 1"/>
                      <wps:cNvSpPr/>
                      <wps:spPr>
                        <a:xfrm>
                          <a:off x="228600" y="0"/>
                          <a:ext cx="1463040" cy="1014984"/>
                        </a:xfrm>
                        <a:custGeom>
                          <a:avLst/>
                          <a:gdLst>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2" name="矩形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 159" o:spid="_x0000_s1026" o:spt="203" style="position:absolute;left:0pt;margin-left:-89.85pt;margin-top:-23.05pt;height:80.65pt;width:133.9pt;z-index:251663360;mso-width-relative:page;mso-height-relative:page;" coordsize="1700784,1024128" o:gfxdata="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">
              <o:lock v:ext="edit" aspectratio="f"/>
              <v:rect id="_x0000_s1026" o:spid="_x0000_s1026" o:spt="1" style="position:absolute;left:0;top:0;height:1024128;width:1700784;v-text-anchor:middle;" fillcolor="#FFFFFF [3212]" filled="t" stroked="f" coordsize="21600,21600" o:gfxdata="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7G4jy/&#10;AAAA3AAAAA8AAAAAAAAAAQAgAAAAIgAAAGRycy9kb3ducmV2LnhtbFBLAQIUABQAAAAIAIdO4kAz&#10;LwWeOwAAADkAAAAQAAAAAAAAAAEAIAAAAA4BAABkcnMvc2hhcGV4bWwueG1sUEsFBgAAAAAGAAYA&#10;WwEAALgDAAAAAA==&#10;">
                <v:fill on="t" opacity="0f" focussize="0,0"/>
                <v:stroke on="f" weight="1pt" miterlimit="8" joinstyle="miter"/>
                <v:imagedata o:title=""/>
                <o:lock v:ext="edit" aspectratio="f"/>
              </v:rect>
              <v:shape id="矩形 1" o:spid="_x0000_s1026" o:spt="100" style="position:absolute;left:228600;top:0;height:1014984;width:1463040;v-text-anchor:middle;" fillcolor="#5B9BD5 [3204]" filled="t" stroked="f" coordsize="1462822,1014481" o:gfxdata="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wgKOC8AAAA&#10;3AAAAA8AAAAAAAAAAQAgAAAAIgAAAGRycy9kb3ducmV2LnhtbFBLAQIUABQAAAAIAIdO4kAzLwWe&#10;OwAAADkAAAAQAAAAAAAAAAEAIAAAAAsBAABkcnMvc2hhcGV4bWwueG1sUEsFBgAAAAAGAAYAWwEA&#10;ALUDAAAAAA==&#10;" path="m0,0l1462822,0,910372,376306,0,1014481,0,0xe">
                <v:path o:connectlocs="0,0;1463040,0;910507,376492;0,1014984;0,0" o:connectangles="0,0,0,0,0"/>
                <v:fill on="t" focussize="0,0"/>
                <v:stroke on="f" weight="1pt" miterlimit="8" joinstyle="miter"/>
                <v:imagedata o:title=""/>
                <o:lock v:ext="edit" aspectratio="f"/>
              </v:shape>
              <v:rect id="_x0000_s1026" o:spid="_x0000_s1026" o:spt="1" style="position:absolute;left:228600;top:0;height:1024128;width:1472184;v-text-anchor:middle;" filled="t" stroked="f" coordsize="21600,21600" o:gfxdata="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LSBiLsAAADc&#10;AAAADwAAAAAAAAABACAAAAAiAAAAZHJzL2Rvd25yZXYueG1sUEsBAhQAFAAAAAgAh07iQDMvBZ47&#10;AAAAOQAAABAAAAAAAAAAAQAgAAAACgEAAGRycy9zaGFwZXhtbC54bWxQSwUGAAAAAAYABgBbAQAA&#10;tAMAAAAA&#10;">
                <v:fill type="frame" on="t" focussize="0,0" recolor="t" rotate="t" r:id="rId1"/>
                <v:stroke on="f" weight="1pt" miterlimit="8" joinstyle="miter"/>
                <v:imagedata o:title=""/>
                <o:lock v:ext="edit" aspectratio="f"/>
              </v:rect>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F845C">
    <w:pPr>
      <w:pStyle w:val="5"/>
      <w:jc w:val="center"/>
      <w:rPr>
        <w:color w:val="ADB9CA" w:themeColor="text2" w:themeTint="66"/>
        <w14:textFill>
          <w14:solidFill>
            <w14:schemeClr w14:val="tx2">
              <w14:lumMod w14:val="40000"/>
              <w14:lumOff w14:val="60000"/>
            </w14:schemeClr>
          </w14:solidFill>
        </w14:textFill>
      </w:rPr>
    </w:pPr>
    <w:r>
      <w:rPr>
        <w:rFonts w:hint="eastAsia"/>
        <w:color w:val="ADB9CA" w:themeColor="text2" w:themeTint="66"/>
        <w14:textFill>
          <w14:solidFill>
            <w14:schemeClr w14:val="tx2">
              <w14:lumMod w14:val="40000"/>
              <w14:lumOff w14:val="60000"/>
            </w14:schemeClr>
          </w14:solidFill>
        </w14:textFill>
      </w:rPr>
      <w:t>阜新高等专科学校202</w:t>
    </w:r>
    <w:r>
      <w:rPr>
        <w:rFonts w:hint="eastAsia"/>
        <w:color w:val="ADB9CA" w:themeColor="text2" w:themeTint="66"/>
        <w:lang w:val="en-US" w:eastAsia="zh-CN"/>
        <w14:textFill>
          <w14:solidFill>
            <w14:schemeClr w14:val="tx2">
              <w14:lumMod w14:val="40000"/>
              <w14:lumOff w14:val="60000"/>
            </w14:schemeClr>
          </w14:solidFill>
        </w14:textFill>
      </w:rPr>
      <w:t>5</w:t>
    </w:r>
    <w:r>
      <w:rPr>
        <w:rFonts w:hint="eastAsia"/>
        <w:color w:val="ADB9CA" w:themeColor="text2" w:themeTint="66"/>
        <w14:textFill>
          <w14:solidFill>
            <w14:schemeClr w14:val="tx2">
              <w14:lumMod w14:val="40000"/>
              <w14:lumOff w14:val="60000"/>
            </w14:schemeClr>
          </w14:solidFill>
        </w14:textFill>
      </w:rPr>
      <w:t>年大专毕业生就业质量报告</w:t>
    </w:r>
  </w:p>
  <w:p w14:paraId="490E8A36">
    <w:pPr>
      <w:pStyle w:val="5"/>
      <w:jc w:val="center"/>
      <w:rPr>
        <w:color w:val="ADB9CA" w:themeColor="text2" w:themeTint="66"/>
        <w14:textFill>
          <w14:solidFill>
            <w14:schemeClr w14:val="tx2">
              <w14:lumMod w14:val="40000"/>
              <w14:lumOff w14:val="60000"/>
            </w14:schemeClr>
          </w14:solidFill>
        </w14:textFil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C6"/>
    <w:rsid w:val="000334CB"/>
    <w:rsid w:val="00045297"/>
    <w:rsid w:val="0008012B"/>
    <w:rsid w:val="00094738"/>
    <w:rsid w:val="000A044B"/>
    <w:rsid w:val="000C4812"/>
    <w:rsid w:val="00103311"/>
    <w:rsid w:val="001314BD"/>
    <w:rsid w:val="00145F7E"/>
    <w:rsid w:val="001734C6"/>
    <w:rsid w:val="001843E7"/>
    <w:rsid w:val="001A0104"/>
    <w:rsid w:val="001A2D9D"/>
    <w:rsid w:val="001C5ECB"/>
    <w:rsid w:val="001C7340"/>
    <w:rsid w:val="001D3B0E"/>
    <w:rsid w:val="001D44A4"/>
    <w:rsid w:val="001E0127"/>
    <w:rsid w:val="001E135F"/>
    <w:rsid w:val="001E392F"/>
    <w:rsid w:val="001E70E5"/>
    <w:rsid w:val="002076C2"/>
    <w:rsid w:val="002229F8"/>
    <w:rsid w:val="00233D13"/>
    <w:rsid w:val="002406AB"/>
    <w:rsid w:val="00293F0F"/>
    <w:rsid w:val="002B36E9"/>
    <w:rsid w:val="002C12D7"/>
    <w:rsid w:val="002C5B89"/>
    <w:rsid w:val="002D0276"/>
    <w:rsid w:val="002D5811"/>
    <w:rsid w:val="002E164B"/>
    <w:rsid w:val="00312F93"/>
    <w:rsid w:val="00324E0F"/>
    <w:rsid w:val="003545C6"/>
    <w:rsid w:val="003813CA"/>
    <w:rsid w:val="003B71F5"/>
    <w:rsid w:val="003C5394"/>
    <w:rsid w:val="003C5AE2"/>
    <w:rsid w:val="003F60A4"/>
    <w:rsid w:val="00412413"/>
    <w:rsid w:val="004202D0"/>
    <w:rsid w:val="00421886"/>
    <w:rsid w:val="004221E3"/>
    <w:rsid w:val="004246B3"/>
    <w:rsid w:val="00430E9B"/>
    <w:rsid w:val="00435BB0"/>
    <w:rsid w:val="00447B29"/>
    <w:rsid w:val="00471C84"/>
    <w:rsid w:val="004B52D4"/>
    <w:rsid w:val="004B6C62"/>
    <w:rsid w:val="004C420C"/>
    <w:rsid w:val="004F21DB"/>
    <w:rsid w:val="004F3301"/>
    <w:rsid w:val="00521B69"/>
    <w:rsid w:val="00532C77"/>
    <w:rsid w:val="005638A0"/>
    <w:rsid w:val="00570188"/>
    <w:rsid w:val="00587407"/>
    <w:rsid w:val="00594FBB"/>
    <w:rsid w:val="005A0415"/>
    <w:rsid w:val="005A4C6D"/>
    <w:rsid w:val="005A6B21"/>
    <w:rsid w:val="005D0AF0"/>
    <w:rsid w:val="005F22EA"/>
    <w:rsid w:val="006020A1"/>
    <w:rsid w:val="006238A2"/>
    <w:rsid w:val="0063167B"/>
    <w:rsid w:val="006525FD"/>
    <w:rsid w:val="00655F84"/>
    <w:rsid w:val="00664ED4"/>
    <w:rsid w:val="006732A4"/>
    <w:rsid w:val="00687333"/>
    <w:rsid w:val="00687807"/>
    <w:rsid w:val="006937EF"/>
    <w:rsid w:val="006B289B"/>
    <w:rsid w:val="006C525D"/>
    <w:rsid w:val="006D58C6"/>
    <w:rsid w:val="006E24FE"/>
    <w:rsid w:val="006F2286"/>
    <w:rsid w:val="00726966"/>
    <w:rsid w:val="00743118"/>
    <w:rsid w:val="0075487B"/>
    <w:rsid w:val="007859E4"/>
    <w:rsid w:val="007905E7"/>
    <w:rsid w:val="00793BB2"/>
    <w:rsid w:val="00797F95"/>
    <w:rsid w:val="007A2269"/>
    <w:rsid w:val="007A6B24"/>
    <w:rsid w:val="007A7565"/>
    <w:rsid w:val="007B7406"/>
    <w:rsid w:val="007C28E4"/>
    <w:rsid w:val="007C2F14"/>
    <w:rsid w:val="007C48DD"/>
    <w:rsid w:val="007D5F77"/>
    <w:rsid w:val="007D6743"/>
    <w:rsid w:val="007F1418"/>
    <w:rsid w:val="0080196A"/>
    <w:rsid w:val="00815C20"/>
    <w:rsid w:val="0081619F"/>
    <w:rsid w:val="008215C1"/>
    <w:rsid w:val="008221A0"/>
    <w:rsid w:val="0082281C"/>
    <w:rsid w:val="00834FE7"/>
    <w:rsid w:val="00837B84"/>
    <w:rsid w:val="00837D2F"/>
    <w:rsid w:val="00862E22"/>
    <w:rsid w:val="00867688"/>
    <w:rsid w:val="00890C08"/>
    <w:rsid w:val="00891547"/>
    <w:rsid w:val="008B3987"/>
    <w:rsid w:val="008B76C4"/>
    <w:rsid w:val="008C44A1"/>
    <w:rsid w:val="008C4974"/>
    <w:rsid w:val="008E12D7"/>
    <w:rsid w:val="008E3CD4"/>
    <w:rsid w:val="008E7ACF"/>
    <w:rsid w:val="00900168"/>
    <w:rsid w:val="0090680A"/>
    <w:rsid w:val="009119F4"/>
    <w:rsid w:val="00915E15"/>
    <w:rsid w:val="0092272F"/>
    <w:rsid w:val="00927921"/>
    <w:rsid w:val="00946E46"/>
    <w:rsid w:val="00983ADA"/>
    <w:rsid w:val="0099235B"/>
    <w:rsid w:val="009B35B8"/>
    <w:rsid w:val="009C6EEC"/>
    <w:rsid w:val="009D1908"/>
    <w:rsid w:val="00A10866"/>
    <w:rsid w:val="00A1318A"/>
    <w:rsid w:val="00A1336A"/>
    <w:rsid w:val="00A2359E"/>
    <w:rsid w:val="00A32DD5"/>
    <w:rsid w:val="00A70721"/>
    <w:rsid w:val="00A84EAE"/>
    <w:rsid w:val="00A8728B"/>
    <w:rsid w:val="00A87654"/>
    <w:rsid w:val="00A94FB3"/>
    <w:rsid w:val="00AB2D84"/>
    <w:rsid w:val="00AB3961"/>
    <w:rsid w:val="00AD45D6"/>
    <w:rsid w:val="00AF1110"/>
    <w:rsid w:val="00AF11FB"/>
    <w:rsid w:val="00AF3490"/>
    <w:rsid w:val="00AF5C2D"/>
    <w:rsid w:val="00B17900"/>
    <w:rsid w:val="00B24720"/>
    <w:rsid w:val="00B44CD2"/>
    <w:rsid w:val="00B65EFE"/>
    <w:rsid w:val="00B7338B"/>
    <w:rsid w:val="00B94919"/>
    <w:rsid w:val="00BB1859"/>
    <w:rsid w:val="00BB4244"/>
    <w:rsid w:val="00BB7D20"/>
    <w:rsid w:val="00BD0C60"/>
    <w:rsid w:val="00BF54EC"/>
    <w:rsid w:val="00C022E7"/>
    <w:rsid w:val="00C050B0"/>
    <w:rsid w:val="00C1603A"/>
    <w:rsid w:val="00C16774"/>
    <w:rsid w:val="00C21403"/>
    <w:rsid w:val="00C5450F"/>
    <w:rsid w:val="00C66A5E"/>
    <w:rsid w:val="00C67F6B"/>
    <w:rsid w:val="00CA7A90"/>
    <w:rsid w:val="00CB1FE3"/>
    <w:rsid w:val="00CC0C29"/>
    <w:rsid w:val="00CC2C75"/>
    <w:rsid w:val="00CC3B1C"/>
    <w:rsid w:val="00CE0542"/>
    <w:rsid w:val="00CE410D"/>
    <w:rsid w:val="00D20FF1"/>
    <w:rsid w:val="00D27909"/>
    <w:rsid w:val="00D658D7"/>
    <w:rsid w:val="00D7417E"/>
    <w:rsid w:val="00DB3282"/>
    <w:rsid w:val="00DC012C"/>
    <w:rsid w:val="00DD1215"/>
    <w:rsid w:val="00E01B3F"/>
    <w:rsid w:val="00E12BA2"/>
    <w:rsid w:val="00E176E5"/>
    <w:rsid w:val="00E21B89"/>
    <w:rsid w:val="00E36426"/>
    <w:rsid w:val="00E4444A"/>
    <w:rsid w:val="00E46153"/>
    <w:rsid w:val="00E80345"/>
    <w:rsid w:val="00EA40C2"/>
    <w:rsid w:val="00EC401F"/>
    <w:rsid w:val="00EC48A3"/>
    <w:rsid w:val="00ED1D12"/>
    <w:rsid w:val="00ED2542"/>
    <w:rsid w:val="00ED7116"/>
    <w:rsid w:val="00EE30C2"/>
    <w:rsid w:val="00EE74D0"/>
    <w:rsid w:val="00EF40DF"/>
    <w:rsid w:val="00F220A6"/>
    <w:rsid w:val="00F25E7E"/>
    <w:rsid w:val="00F516B8"/>
    <w:rsid w:val="00F67FDE"/>
    <w:rsid w:val="00F72602"/>
    <w:rsid w:val="00FC052A"/>
    <w:rsid w:val="00FC21CA"/>
    <w:rsid w:val="00FC37A8"/>
    <w:rsid w:val="00FE46FA"/>
    <w:rsid w:val="00FE5463"/>
    <w:rsid w:val="015003A8"/>
    <w:rsid w:val="03F07987"/>
    <w:rsid w:val="04BA415C"/>
    <w:rsid w:val="05107327"/>
    <w:rsid w:val="06D03D80"/>
    <w:rsid w:val="07430CF5"/>
    <w:rsid w:val="08402334"/>
    <w:rsid w:val="089C76AF"/>
    <w:rsid w:val="0C104C1F"/>
    <w:rsid w:val="0FA14A05"/>
    <w:rsid w:val="140C03C2"/>
    <w:rsid w:val="14272A04"/>
    <w:rsid w:val="155B6F0B"/>
    <w:rsid w:val="1BEF5122"/>
    <w:rsid w:val="1C0E6FB4"/>
    <w:rsid w:val="1CFF3ED8"/>
    <w:rsid w:val="1E7E3572"/>
    <w:rsid w:val="20F667B9"/>
    <w:rsid w:val="25DD07DA"/>
    <w:rsid w:val="26FB67A0"/>
    <w:rsid w:val="27F023E5"/>
    <w:rsid w:val="28B44E58"/>
    <w:rsid w:val="2D2F69A9"/>
    <w:rsid w:val="2ED64C1F"/>
    <w:rsid w:val="2EF048E7"/>
    <w:rsid w:val="32D937E1"/>
    <w:rsid w:val="40E52904"/>
    <w:rsid w:val="46F506BE"/>
    <w:rsid w:val="4A484FA8"/>
    <w:rsid w:val="50E905CA"/>
    <w:rsid w:val="52E144DC"/>
    <w:rsid w:val="59A03574"/>
    <w:rsid w:val="59C705D9"/>
    <w:rsid w:val="5F055A90"/>
    <w:rsid w:val="5F571FE7"/>
    <w:rsid w:val="5FE97C78"/>
    <w:rsid w:val="60571DF4"/>
    <w:rsid w:val="63B838B0"/>
    <w:rsid w:val="63D829A7"/>
    <w:rsid w:val="65317B56"/>
    <w:rsid w:val="6855236F"/>
    <w:rsid w:val="6A2C3EF0"/>
    <w:rsid w:val="6A802D8B"/>
    <w:rsid w:val="6E3A2CD6"/>
    <w:rsid w:val="70636C95"/>
    <w:rsid w:val="74D53D0D"/>
    <w:rsid w:val="74E303FF"/>
    <w:rsid w:val="75445F7A"/>
    <w:rsid w:val="76F007C9"/>
    <w:rsid w:val="7A4153ED"/>
    <w:rsid w:val="7AC4602B"/>
    <w:rsid w:val="7D7A5C9F"/>
    <w:rsid w:val="7F3E2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6"/>
    <w:qFormat/>
    <w:uiPriority w:val="0"/>
    <w:rPr>
      <w:sz w:val="18"/>
      <w:szCs w:val="18"/>
    </w:rPr>
  </w:style>
  <w:style w:type="paragraph" w:styleId="4">
    <w:name w:val="footer"/>
    <w:basedOn w:val="1"/>
    <w:link w:val="15"/>
    <w:qFormat/>
    <w:uiPriority w:val="99"/>
    <w:pPr>
      <w:tabs>
        <w:tab w:val="center" w:pos="4153"/>
        <w:tab w:val="right" w:pos="8306"/>
      </w:tabs>
      <w:snapToGrid w:val="0"/>
      <w:jc w:val="left"/>
    </w:pPr>
    <w:rPr>
      <w:sz w:val="18"/>
    </w:rPr>
  </w:style>
  <w:style w:type="paragraph" w:styleId="5">
    <w:name w:val="header"/>
    <w:basedOn w:val="1"/>
    <w:link w:val="14"/>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autoRedefine/>
    <w:qFormat/>
    <w:uiPriority w:val="39"/>
  </w:style>
  <w:style w:type="paragraph" w:styleId="7">
    <w:name w:val="Normal (Web)"/>
    <w:basedOn w:val="1"/>
    <w:qFormat/>
    <w:uiPriority w:val="0"/>
    <w:rPr>
      <w:rFonts w:ascii="Times New Roman" w:hAnsi="Times New Roman" w:cs="Times New Roman"/>
      <w:sz w:val="24"/>
    </w:rPr>
  </w:style>
  <w:style w:type="table" w:styleId="9">
    <w:name w:val="Table Grid"/>
    <w:basedOn w:val="8"/>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paragraph" w:styleId="12">
    <w:name w:val="List Paragraph"/>
    <w:basedOn w:val="1"/>
    <w:qFormat/>
    <w:uiPriority w:val="99"/>
    <w:pPr>
      <w:ind w:firstLine="420" w:firstLineChars="200"/>
    </w:pPr>
  </w:style>
  <w:style w:type="character" w:customStyle="1" w:styleId="13">
    <w:name w:val="标题 1 字符"/>
    <w:basedOn w:val="10"/>
    <w:link w:val="2"/>
    <w:qFormat/>
    <w:uiPriority w:val="0"/>
    <w:rPr>
      <w:b/>
      <w:bCs/>
      <w:kern w:val="44"/>
      <w:sz w:val="44"/>
      <w:szCs w:val="44"/>
    </w:rPr>
  </w:style>
  <w:style w:type="character" w:customStyle="1" w:styleId="14">
    <w:name w:val="页眉 字符"/>
    <w:basedOn w:val="10"/>
    <w:link w:val="5"/>
    <w:qFormat/>
    <w:uiPriority w:val="99"/>
    <w:rPr>
      <w:kern w:val="2"/>
      <w:sz w:val="18"/>
      <w:szCs w:val="24"/>
    </w:rPr>
  </w:style>
  <w:style w:type="character" w:customStyle="1" w:styleId="15">
    <w:name w:val="页脚 字符"/>
    <w:basedOn w:val="10"/>
    <w:link w:val="4"/>
    <w:qFormat/>
    <w:uiPriority w:val="99"/>
    <w:rPr>
      <w:kern w:val="2"/>
      <w:sz w:val="18"/>
      <w:szCs w:val="24"/>
    </w:rPr>
  </w:style>
  <w:style w:type="character" w:customStyle="1" w:styleId="16">
    <w:name w:val="批注框文本 字符"/>
    <w:basedOn w:val="10"/>
    <w:link w:val="3"/>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5" Type="http://schemas.openxmlformats.org/officeDocument/2006/relationships/fontTable" Target="fontTable.xml"/><Relationship Id="rId54" Type="http://schemas.openxmlformats.org/officeDocument/2006/relationships/customXml" Target="../customXml/item2.xml"/><Relationship Id="rId53" Type="http://schemas.openxmlformats.org/officeDocument/2006/relationships/customXml" Target="../customXml/item1.xml"/><Relationship Id="rId52" Type="http://schemas.openxmlformats.org/officeDocument/2006/relationships/image" Target="media/image12.png"/><Relationship Id="rId51" Type="http://schemas.openxmlformats.org/officeDocument/2006/relationships/image" Target="media/image11.jpeg"/><Relationship Id="rId50" Type="http://schemas.openxmlformats.org/officeDocument/2006/relationships/image" Target="media/image10.png"/><Relationship Id="rId5" Type="http://schemas.openxmlformats.org/officeDocument/2006/relationships/footer" Target="footer1.xml"/><Relationship Id="rId49" Type="http://schemas.openxmlformats.org/officeDocument/2006/relationships/image" Target="media/image9.png"/><Relationship Id="rId48" Type="http://schemas.openxmlformats.org/officeDocument/2006/relationships/image" Target="media/image8.png"/><Relationship Id="rId47" Type="http://schemas.openxmlformats.org/officeDocument/2006/relationships/image" Target="media/image7.jpeg"/><Relationship Id="rId46" Type="http://schemas.openxmlformats.org/officeDocument/2006/relationships/chart" Target="charts/chart31.xml"/><Relationship Id="rId45" Type="http://schemas.openxmlformats.org/officeDocument/2006/relationships/chart" Target="charts/chart30.xml"/><Relationship Id="rId44" Type="http://schemas.openxmlformats.org/officeDocument/2006/relationships/chart" Target="charts/chart29.xml"/><Relationship Id="rId43" Type="http://schemas.openxmlformats.org/officeDocument/2006/relationships/chart" Target="charts/chart28.xml"/><Relationship Id="rId42" Type="http://schemas.openxmlformats.org/officeDocument/2006/relationships/chart" Target="charts/chart27.xml"/><Relationship Id="rId41" Type="http://schemas.openxmlformats.org/officeDocument/2006/relationships/chart" Target="charts/chart26.xml"/><Relationship Id="rId40" Type="http://schemas.openxmlformats.org/officeDocument/2006/relationships/chart" Target="charts/chart25.xml"/><Relationship Id="rId4" Type="http://schemas.openxmlformats.org/officeDocument/2006/relationships/header" Target="header2.xml"/><Relationship Id="rId39" Type="http://schemas.openxmlformats.org/officeDocument/2006/relationships/chart" Target="charts/chart24.xml"/><Relationship Id="rId38" Type="http://schemas.openxmlformats.org/officeDocument/2006/relationships/chart" Target="charts/chart23.xml"/><Relationship Id="rId37" Type="http://schemas.openxmlformats.org/officeDocument/2006/relationships/chart" Target="charts/chart22.xml"/><Relationship Id="rId36" Type="http://schemas.openxmlformats.org/officeDocument/2006/relationships/chart" Target="charts/chart21.xml"/><Relationship Id="rId35" Type="http://schemas.openxmlformats.org/officeDocument/2006/relationships/chart" Target="charts/chart20.xml"/><Relationship Id="rId34" Type="http://schemas.openxmlformats.org/officeDocument/2006/relationships/chart" Target="charts/chart19.xml"/><Relationship Id="rId33" Type="http://schemas.openxmlformats.org/officeDocument/2006/relationships/chart" Target="charts/chart18.xml"/><Relationship Id="rId32" Type="http://schemas.openxmlformats.org/officeDocument/2006/relationships/chart" Target="charts/chart17.xml"/><Relationship Id="rId31" Type="http://schemas.openxmlformats.org/officeDocument/2006/relationships/chart" Target="charts/chart16.xml"/><Relationship Id="rId30" Type="http://schemas.openxmlformats.org/officeDocument/2006/relationships/chart" Target="charts/chart15.xml"/><Relationship Id="rId3" Type="http://schemas.openxmlformats.org/officeDocument/2006/relationships/header" Target="header1.xml"/><Relationship Id="rId29" Type="http://schemas.openxmlformats.org/officeDocument/2006/relationships/chart" Target="charts/chart14.xml"/><Relationship Id="rId28" Type="http://schemas.openxmlformats.org/officeDocument/2006/relationships/chart" Target="charts/chart13.xml"/><Relationship Id="rId27" Type="http://schemas.openxmlformats.org/officeDocument/2006/relationships/chart" Target="charts/chart12.xml"/><Relationship Id="rId26" Type="http://schemas.openxmlformats.org/officeDocument/2006/relationships/chart" Target="charts/chart11.xml"/><Relationship Id="rId25" Type="http://schemas.openxmlformats.org/officeDocument/2006/relationships/chart" Target="charts/chart10.xml"/><Relationship Id="rId24" Type="http://schemas.openxmlformats.org/officeDocument/2006/relationships/chart" Target="charts/chart9.xml"/><Relationship Id="rId23" Type="http://schemas.openxmlformats.org/officeDocument/2006/relationships/image" Target="media/image6.png"/><Relationship Id="rId22" Type="http://schemas.openxmlformats.org/officeDocument/2006/relationships/chart" Target="charts/chart8.xml"/><Relationship Id="rId21" Type="http://schemas.openxmlformats.org/officeDocument/2006/relationships/chart" Target="charts/chart7.xml"/><Relationship Id="rId20" Type="http://schemas.openxmlformats.org/officeDocument/2006/relationships/chart" Target="charts/chart6.xml"/><Relationship Id="rId2" Type="http://schemas.openxmlformats.org/officeDocument/2006/relationships/settings" Target="settings.xml"/><Relationship Id="rId19" Type="http://schemas.openxmlformats.org/officeDocument/2006/relationships/chart" Target="charts/chart5.xml"/><Relationship Id="rId18" Type="http://schemas.openxmlformats.org/officeDocument/2006/relationships/chart" Target="charts/chart4.xml"/><Relationship Id="rId17" Type="http://schemas.openxmlformats.org/officeDocument/2006/relationships/chart" Target="charts/chart3.xml"/><Relationship Id="rId16" Type="http://schemas.openxmlformats.org/officeDocument/2006/relationships/chart" Target="charts/chart2.xml"/><Relationship Id="rId15" Type="http://schemas.openxmlformats.org/officeDocument/2006/relationships/chart" Target="charts/chart1.xml"/><Relationship Id="rId14" Type="http://schemas.openxmlformats.org/officeDocument/2006/relationships/image" Target="media/image5.jpeg"/><Relationship Id="rId13" Type="http://schemas.openxmlformats.org/officeDocument/2006/relationships/image" Target="media/image4.png"/><Relationship Id="rId12" Type="http://schemas.openxmlformats.org/officeDocument/2006/relationships/image" Target="media/image3.jpeg"/><Relationship Id="rId11" Type="http://schemas.openxmlformats.org/officeDocument/2006/relationships/image" Target="media/image2.pn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29983;&#28304;&#24773;&#20917;&#20998;&#24067;&#65289;-16.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23601;&#19994;&#21333;&#20301;&#27969;&#21521;&#65289;-6.xls" TargetMode="External"/></Relationships>
</file>

<file path=word/charts/_rels/chart11.xml.rels><?xml version="1.0" encoding="UTF-8" standalone="yes"?>
<Relationships xmlns="http://schemas.openxmlformats.org/package/2006/relationships"><Relationship Id="rId4" Type="http://schemas.microsoft.com/office/2011/relationships/chartColorStyle" Target="colors14.xml"/><Relationship Id="rId3" Type="http://schemas.microsoft.com/office/2011/relationships/chartStyle" Target="style14.xml"/><Relationship Id="rId2" Type="http://schemas.openxmlformats.org/officeDocument/2006/relationships/themeOverride" Target="../theme/themeOverride14.xml"/><Relationship Id="rId1" Type="http://schemas.openxmlformats.org/officeDocument/2006/relationships/oleObject" Target="file:///C:\Users\lenovo\Desktop\25&#23626;&#27605;&#19994;&#29983;&#23601;&#19994;&#36136;&#37327;&#25968;&#25454;&#24211;\2025&#23601;&#19994;&#36136;&#37327;&#25253;&#21578;&#20316;&#22270;&#25968;&#25454;&#65288;&#26377;&#22270;&#65289;\2025&#23626;&#27605;&#19994;&#29983;&#65288;&#21333;&#20301;&#35268;&#27169;&#65289;-9.xlsx" TargetMode="External"/></Relationships>
</file>

<file path=word/charts/_rels/chart12.xml.rels><?xml version="1.0" encoding="UTF-8" standalone="yes"?>
<Relationships xmlns="http://schemas.openxmlformats.org/package/2006/relationships"><Relationship Id="rId2" Type="http://schemas.openxmlformats.org/officeDocument/2006/relationships/themeOverride" Target="../theme/themeOverride15.xml"/><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23601;&#19994;&#34892;&#19994;&#27969;&#21521;&#65289;-5.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23601;&#19994;&#32844;&#19994;&#27969;&#21521;&#65289;-3.xls" TargetMode="External"/></Relationships>
</file>

<file path=word/charts/_rels/chart14.xml.rels><?xml version="1.0" encoding="UTF-8" standalone="yes"?>
<Relationships xmlns="http://schemas.openxmlformats.org/package/2006/relationships"><Relationship Id="rId3" Type="http://schemas.microsoft.com/office/2011/relationships/chartColorStyle" Target="colors15.xml"/><Relationship Id="rId2" Type="http://schemas.microsoft.com/office/2011/relationships/chartStyle" Target="style15.xml"/><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21319;&#23398;&#65289;.xlsx" TargetMode="External"/></Relationships>
</file>

<file path=word/charts/_rels/chart15.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oleObject" Target="file:///C:\Users\lenovo\Desktop\25&#23626;&#27605;&#19994;&#29983;&#23601;&#19994;&#36136;&#37327;&#25968;&#25454;&#24211;\2025&#23601;&#19994;&#36136;&#37327;&#25253;&#21578;&#20316;&#22270;&#25968;&#25454;&#65288;&#26377;&#22270;&#65289;\2025&#23626;&#27605;&#19994;&#29983;&#65288;&#19987;&#21319;&#26412;&#38382;&#21367;&#35843;&#26597;&#65289;&#24635;&#20316;&#22270;.xlsx" TargetMode="External"/></Relationships>
</file>

<file path=word/charts/_rels/chart16.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themeOverride" Target="../theme/themeOverride4.xml"/><Relationship Id="rId1" Type="http://schemas.openxmlformats.org/officeDocument/2006/relationships/oleObject" Target="file:///C:\Users\lenovo\Desktop\25&#23626;&#27605;&#19994;&#29983;&#23601;&#19994;&#36136;&#37327;&#25968;&#25454;&#24211;\2025&#23601;&#19994;&#36136;&#37327;&#25253;&#21578;&#20316;&#22270;&#25968;&#25454;&#65288;&#26377;&#22270;&#65289;\2025&#23626;&#27605;&#19994;&#29983;&#65288;&#19987;&#21319;&#26412;&#38382;&#21367;&#35843;&#26597;&#65289;&#24635;&#20316;&#22270;.xlsx" TargetMode="External"/></Relationships>
</file>

<file path=word/charts/_rels/chart17.xml.rels><?xml version="1.0" encoding="UTF-8" standalone="yes"?>
<Relationships xmlns="http://schemas.openxmlformats.org/package/2006/relationships"><Relationship Id="rId4" Type="http://schemas.microsoft.com/office/2011/relationships/chartColorStyle" Target="colors12.xml"/><Relationship Id="rId3" Type="http://schemas.microsoft.com/office/2011/relationships/chartStyle" Target="style12.xml"/><Relationship Id="rId2" Type="http://schemas.openxmlformats.org/officeDocument/2006/relationships/themeOverride" Target="../theme/themeOverride12.xml"/><Relationship Id="rId1" Type="http://schemas.openxmlformats.org/officeDocument/2006/relationships/oleObject" Target="file:///C:\Users\lenovo\Desktop\25&#23626;&#27605;&#19994;&#29983;&#23601;&#19994;&#36136;&#37327;&#25968;&#25454;&#24211;\2025&#23601;&#19994;&#36136;&#37327;&#25253;&#21578;&#20316;&#22270;&#25968;&#25454;&#65288;&#26377;&#22270;&#65289;\2025&#23626;&#27605;&#19994;&#29983;&#65288;&#19987;&#21319;&#26412;&#38382;&#21367;&#35843;&#26597;&#65289;&#24635;&#20316;&#22270;.xlsx" TargetMode="External"/></Relationships>
</file>

<file path=word/charts/_rels/chart18.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3.xml"/><Relationship Id="rId1" Type="http://schemas.openxmlformats.org/officeDocument/2006/relationships/oleObject" Target="file:///C:\Users\lenovo\Desktop\25&#23626;&#27605;&#19994;&#29983;&#23601;&#19994;&#36136;&#37327;&#25968;&#25454;&#24211;\2025&#23601;&#19994;&#36136;&#37327;&#25253;&#21578;&#20316;&#22270;&#25968;&#25454;&#65288;&#26377;&#22270;&#65289;\2025&#23626;&#27605;&#19994;&#29983;&#65288;&#19987;&#21319;&#26412;&#38382;&#21367;&#35843;&#26597;&#65289;&#24635;&#20316;&#22270;.xlsx" TargetMode="External"/></Relationships>
</file>

<file path=word/charts/_rels/chart19.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5.xml"/><Relationship Id="rId1" Type="http://schemas.openxmlformats.org/officeDocument/2006/relationships/oleObject" Target="file:///C:\Users\lenovo\Desktop\25&#23626;&#27605;&#19994;&#29983;&#23601;&#19994;&#36136;&#37327;&#25968;&#25454;&#24211;\2025&#23601;&#19994;&#36136;&#37327;&#25253;&#21578;&#20316;&#22270;&#25968;&#25454;&#65288;&#26377;&#22270;&#65289;\2025&#23626;&#27605;&#19994;&#29983;&#65288;&#19987;&#21319;&#26412;&#38382;&#21367;&#35843;&#26597;&#65289;&#24635;&#20316;&#2227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29983;&#28304;&#24773;&#20917;&#20998;&#24067;&#65289;-16.xls" TargetMode="External"/></Relationships>
</file>

<file path=word/charts/_rels/chart20.xml.rels><?xml version="1.0" encoding="UTF-8" standalone="yes"?>
<Relationships xmlns="http://schemas.openxmlformats.org/package/2006/relationships"><Relationship Id="rId4" Type="http://schemas.microsoft.com/office/2011/relationships/chartColorStyle" Target="colors13.xml"/><Relationship Id="rId3" Type="http://schemas.microsoft.com/office/2011/relationships/chartStyle" Target="style13.xml"/><Relationship Id="rId2" Type="http://schemas.openxmlformats.org/officeDocument/2006/relationships/themeOverride" Target="../theme/themeOverride13.xml"/><Relationship Id="rId1" Type="http://schemas.openxmlformats.org/officeDocument/2006/relationships/oleObject" Target="file:///C:\Users\lenovo\Desktop\25&#23626;&#27605;&#19994;&#29983;&#23601;&#19994;&#36136;&#37327;&#25968;&#25454;&#24211;\2025&#23601;&#19994;&#36136;&#37327;&#25253;&#21578;&#20316;&#22270;&#25968;&#25454;&#65288;&#26377;&#22270;&#65289;\2025&#23626;&#27605;&#19994;&#29983;&#65288;&#34218;&#37228;&#27700;&#24179;&#65289;-10.xls"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23601;&#19994;&#23545;&#21475;&#29575;&#19968;&#35272;&#34920;%20(&#35814;&#32454;75.17%25&#65289;&#65289;-11.xls"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23601;&#19994;&#23545;&#21475;&#29575;&#19968;&#35272;&#34920;%20(&#35814;&#32454;75.17%25&#65289;&#65289;-11.xls"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lenovo\Desktop\25&#23626;&#27605;&#19994;&#29983;&#23601;&#19994;&#36136;&#37327;&#25968;&#25454;&#24211;\2025&#23601;&#19994;&#36136;&#37327;&#25253;&#21578;&#20316;&#22270;&#25968;&#25454;&#65288;&#26377;&#22270;&#65289;\2025&#23626;&#27605;&#19994;&#29983;&#65288;&#23601;&#19994;&#28385;&#24847;&#24230;&#65289;-18.xls" TargetMode="External"/></Relationships>
</file>

<file path=word/charts/_rels/chart24.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themeOverride" Target="../theme/themeOverride6.xml"/><Relationship Id="rId1" Type="http://schemas.openxmlformats.org/officeDocument/2006/relationships/oleObject" Target="file:///C:\Users\lenovo\Desktop\25&#23626;&#27605;&#19994;&#29983;&#23601;&#19994;&#36136;&#37327;&#25968;&#25454;&#24211;\2025&#23601;&#19994;&#36136;&#37327;&#25253;&#21578;&#20316;&#22270;&#25968;&#25454;&#65288;&#26377;&#22270;&#65289;\2025&#23626;&#27605;&#19994;&#29983;&#65288;&#27714;&#32844;&#36884;&#24452;&#65289;-12.xls" TargetMode="External"/></Relationships>
</file>

<file path=word/charts/_rels/chart25.xml.rels><?xml version="1.0" encoding="UTF-8" standalone="yes"?>
<Relationships xmlns="http://schemas.openxmlformats.org/package/2006/relationships"><Relationship Id="rId4" Type="http://schemas.microsoft.com/office/2011/relationships/chartColorStyle" Target="colors7.xml"/><Relationship Id="rId3" Type="http://schemas.microsoft.com/office/2011/relationships/chartStyle" Target="style7.xml"/><Relationship Id="rId2" Type="http://schemas.openxmlformats.org/officeDocument/2006/relationships/themeOverride" Target="../theme/themeOverride7.xml"/><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23601;&#19994;&#24418;&#24335;&#21464;&#21270;&#36235;&#21183;&#65289;-4.xls" TargetMode="External"/></Relationships>
</file>

<file path=word/charts/_rels/chart26.xml.rels><?xml version="1.0" encoding="UTF-8" standalone="yes"?>
<Relationships xmlns="http://schemas.openxmlformats.org/package/2006/relationships"><Relationship Id="rId4" Type="http://schemas.microsoft.com/office/2011/relationships/chartColorStyle" Target="colors8.xml"/><Relationship Id="rId3" Type="http://schemas.microsoft.com/office/2011/relationships/chartStyle" Target="style8.xml"/><Relationship Id="rId2" Type="http://schemas.openxmlformats.org/officeDocument/2006/relationships/themeOverride" Target="../theme/themeOverride8.xml"/><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23601;&#19994;&#24418;&#24335;&#21464;&#21270;&#36235;&#21183;&#65289;-4.xls" TargetMode="External"/></Relationships>
</file>

<file path=word/charts/_rels/chart27.xml.rels><?xml version="1.0" encoding="UTF-8" standalone="yes"?>
<Relationships xmlns="http://schemas.openxmlformats.org/package/2006/relationships"><Relationship Id="rId4" Type="http://schemas.microsoft.com/office/2011/relationships/chartColorStyle" Target="colors9.xml"/><Relationship Id="rId3" Type="http://schemas.microsoft.com/office/2011/relationships/chartStyle" Target="style9.xml"/><Relationship Id="rId2" Type="http://schemas.openxmlformats.org/officeDocument/2006/relationships/themeOverride" Target="../theme/themeOverride9.xml"/><Relationship Id="rId1" Type="http://schemas.openxmlformats.org/officeDocument/2006/relationships/oleObject" Target="file:///C:\Users\lenovo\Desktop\25&#23626;&#27605;&#19994;&#29983;&#23601;&#19994;&#36136;&#37327;&#25968;&#25454;&#24211;\2025&#23601;&#19994;&#36136;&#37327;&#25253;&#21578;&#20316;&#22270;&#25968;&#25454;&#65288;&#26377;&#22270;&#65289;\2025&#23626;&#27605;&#19994;&#29983;&#65288;&#27597;&#26657;&#28385;&#24847;&#24230;&#65289;-13.xls" TargetMode="External"/></Relationships>
</file>

<file path=word/charts/_rels/chart28.xml.rels><?xml version="1.0" encoding="UTF-8" standalone="yes"?>
<Relationships xmlns="http://schemas.openxmlformats.org/package/2006/relationships"><Relationship Id="rId3" Type="http://schemas.microsoft.com/office/2011/relationships/chartColorStyle" Target="colors18.xml"/><Relationship Id="rId2" Type="http://schemas.microsoft.com/office/2011/relationships/chartStyle" Target="style18.xml"/><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25945;&#23398;&#30456;&#20851;&#65289;.xlsx" TargetMode="External"/></Relationships>
</file>

<file path=word/charts/_rels/chart29.xml.rels><?xml version="1.0" encoding="UTF-8" standalone="yes"?>
<Relationships xmlns="http://schemas.openxmlformats.org/package/2006/relationships"><Relationship Id="rId3" Type="http://schemas.microsoft.com/office/2011/relationships/chartColorStyle" Target="colors17.xml"/><Relationship Id="rId2" Type="http://schemas.microsoft.com/office/2011/relationships/chartStyle" Target="style17.xml"/><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25945;&#23398;&#30456;&#20851;&#6528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29983;&#28304;&#24773;&#20917;&#20998;&#24067;&#65289;-16.xls" TargetMode="External"/></Relationships>
</file>

<file path=word/charts/_rels/chart30.xml.rels><?xml version="1.0" encoding="UTF-8" standalone="yes"?>
<Relationships xmlns="http://schemas.openxmlformats.org/package/2006/relationships"><Relationship Id="rId3" Type="http://schemas.microsoft.com/office/2011/relationships/chartColorStyle" Target="colors19.xml"/><Relationship Id="rId2" Type="http://schemas.microsoft.com/office/2011/relationships/chartStyle" Target="style19.xml"/><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25945;&#23398;&#30456;&#20851;&#65289;.xlsx" TargetMode="External"/></Relationships>
</file>

<file path=word/charts/_rels/chart31.xml.rels><?xml version="1.0" encoding="UTF-8" standalone="yes"?>
<Relationships xmlns="http://schemas.openxmlformats.org/package/2006/relationships"><Relationship Id="rId3" Type="http://schemas.microsoft.com/office/2011/relationships/chartColorStyle" Target="colors16.xml"/><Relationship Id="rId2" Type="http://schemas.microsoft.com/office/2011/relationships/chartStyle" Target="style16.xml"/><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25945;&#23398;&#30456;&#20851;&#6528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38498;&#31995;&#21644;&#19987;&#19994;&#32467;&#26500;&#32479;&#35745;&#34920;&#65289;-2.xls" TargetMode="External"/></Relationships>
</file>

<file path=word/charts/_rels/chart5.xml.rels><?xml version="1.0" encoding="UTF-8" standalone="yes"?>
<Relationships xmlns="http://schemas.openxmlformats.org/package/2006/relationships"><Relationship Id="rId2" Type="http://schemas.openxmlformats.org/officeDocument/2006/relationships/themeOverride" Target="../theme/themeOverride10.xml"/><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24635;&#20307;&#23601;&#19994;&#29575;&#65289;-1.xls"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10.xml"/><Relationship Id="rId3" Type="http://schemas.microsoft.com/office/2011/relationships/chartStyle" Target="style10.xml"/><Relationship Id="rId2" Type="http://schemas.openxmlformats.org/officeDocument/2006/relationships/themeOverride" Target="../theme/themeOverride11.xml"/><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21508;&#31995;&#30340;&#23601;&#19994;&#29575;&#65289;-7.xlsx" TargetMode="External"/></Relationships>
</file>

<file path=word/charts/_rels/chart7.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21508;&#19987;&#19994;&#30340;&#23601;&#19994;&#29575;&#65289;-8.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lenovo\Desktop\25&#23626;&#27605;&#19994;&#29983;&#23601;&#19994;&#36136;&#37327;&#25968;&#25454;&#24211;\2025&#23601;&#19994;&#36136;&#37327;&#25253;&#21578;&#20316;&#22270;&#25968;&#25454;&#65288;&#26377;&#22270;&#65289;\2025&#23626;&#27605;&#19994;&#29983;&#65288;&#26410;&#23601;&#19994;&#24773;&#20917;&#20998;&#26512;&#65289;&#24635;.xls"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oleObject" Target="file:///C:\Users\lenovo\Desktop\25&#23626;&#27605;&#19994;&#29983;&#23601;&#19994;&#36136;&#37327;&#25968;&#25454;&#24211;\2025&#23601;&#19994;&#36136;&#37327;&#25253;&#21578;&#20316;&#22270;&#25968;&#25454;&#65288;&#26377;&#22270;&#65289;\2025&#23626;&#22823;&#19987;&#27605;&#19994;&#29983;&#65288;&#23601;&#19994;&#22320;&#21306;&#27969;&#21521;&#65289;-1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男女生比例</a:t>
            </a:r>
            <a:endParaRPr lang="zh-CN" altLang="en-US" sz="1400" b="0" i="0" u="none" strike="noStrike" baseline="0">
              <a:solidFill>
                <a:srgbClr val="333333">
                  <a:alpha val="100000"/>
                </a:srgbClr>
              </a:solidFill>
              <a:latin typeface="宋体" panose="02010600030101010101" charset="-122"/>
              <a:ea typeface="宋体" panose="02010600030101010101" charset="-122"/>
              <a:cs typeface="宋体" panose="02010600030101010101" charset="-122"/>
            </a:endParaRPr>
          </a:p>
        </c:rich>
      </c:tx>
      <c:layout/>
      <c:overlay val="0"/>
    </c:title>
    <c:autoTitleDeleted val="0"/>
    <c:plotArea>
      <c:layout/>
      <c:pieChart>
        <c:varyColors val="1"/>
        <c:ser>
          <c:idx val="0"/>
          <c:order val="0"/>
          <c:spPr>
            <a:solidFill>
              <a:schemeClr val="accent1">
                <a:lumMod val="75000"/>
              </a:schemeClr>
            </a:solidFill>
          </c:spPr>
          <c:explosion val="0"/>
          <c:dPt>
            <c:idx val="0"/>
            <c:bubble3D val="0"/>
            <c:explosion val="0"/>
            <c:spPr>
              <a:solidFill>
                <a:schemeClr val="accent1">
                  <a:lumMod val="75000"/>
                </a:schemeClr>
              </a:solidFill>
              <a:ln w="9525">
                <a:noFill/>
              </a:ln>
            </c:spPr>
          </c:dPt>
          <c:dPt>
            <c:idx val="1"/>
            <c:bubble3D val="0"/>
            <c:explosion val="0"/>
            <c:spPr>
              <a:solidFill>
                <a:schemeClr val="accent1">
                  <a:lumMod val="40000"/>
                  <a:lumOff val="60000"/>
                </a:schemeClr>
              </a:solidFill>
              <a:ln w="9525">
                <a:noFill/>
              </a:ln>
            </c:spPr>
          </c:dPt>
          <c:dLbls>
            <c:dLbl>
              <c:idx val="0"/>
              <c:layout/>
              <c:numFmt formatCode="0.00%" sourceLinked="0"/>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1"/>
              <c:showBubbleSize val="0"/>
              <c:extLst>
                <c:ext xmlns:c15="http://schemas.microsoft.com/office/drawing/2012/chart" uri="{CE6537A1-D6FC-4f65-9D91-7224C49458BB}"/>
              </c:extLst>
            </c:dLbl>
            <c:dLbl>
              <c:idx val="1"/>
              <c:layout/>
              <c:numFmt formatCode="0.00%" sourceLinked="0"/>
              <c:spPr>
                <a:noFill/>
                <a:ln>
                  <a:noFill/>
                </a:ln>
                <a:effectLst/>
              </c:spPr>
              <c:txPr>
                <a:bodyPr rot="0" spcFirstLastPara="1" vertOverflow="ellipsis" vert="horz" wrap="square" lIns="38100" tIns="19050" rIns="38100" bIns="19050" anchor="ctr" anchorCtr="1">
                  <a:noAutofit/>
                </a:bodyPr>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'[2025届大专毕业生（生源情况分布）-16.xls]Sheet1'!$K$84:$L$84</c:f>
              <c:strCache>
                <c:ptCount val="2"/>
                <c:pt idx="0">
                  <c:v>男生</c:v>
                </c:pt>
                <c:pt idx="1">
                  <c:v>女生</c:v>
                </c:pt>
              </c:strCache>
            </c:strRef>
          </c:cat>
          <c:val>
            <c:numRef>
              <c:f>'[2025届大专毕业生（生源情况分布）-16.xls]Sheet1'!$K$85:$L$85</c:f>
              <c:numCache>
                <c:formatCode>General</c:formatCode>
                <c:ptCount val="2"/>
                <c:pt idx="0">
                  <c:v>966</c:v>
                </c:pt>
                <c:pt idx="1">
                  <c:v>1533</c:v>
                </c:pt>
              </c:numCache>
            </c:numRef>
          </c:val>
        </c:ser>
        <c:ser>
          <c:idx val="1"/>
          <c:order val="1"/>
          <c:explosion val="0"/>
          <c:dPt>
            <c:idx val="0"/>
            <c:bubble3D val="0"/>
            <c:explosion val="0"/>
            <c:spPr>
              <a:solidFill>
                <a:srgbClr val="5B9BD5">
                  <a:alpha val="100000"/>
                </a:srgbClr>
              </a:solidFill>
              <a:ln w="9525">
                <a:noFill/>
              </a:ln>
            </c:spPr>
          </c:dPt>
          <c:dLbls>
            <c:delete val="1"/>
          </c:dLbls>
          <c:cat>
            <c:strRef>
              <c:f>'[2025届大专毕业生（生源情况分布）-16.xls]Sheet1'!$K$84:$L$84</c:f>
              <c:strCache>
                <c:ptCount val="2"/>
                <c:pt idx="0">
                  <c:v>男生</c:v>
                </c:pt>
                <c:pt idx="1">
                  <c:v>女生</c:v>
                </c:pt>
              </c:strCache>
            </c:strRef>
          </c:cat>
          <c:val>
            <c:numRef>
              <c:f>'[2025届大专毕业生（生源情况分布）-16.xls]Sheet1'!#REF!</c:f>
              <c:numCache>
                <c:formatCode>General</c:formatCode>
                <c:ptCount val="1"/>
              </c:numCache>
            </c:numRef>
          </c:val>
        </c:ser>
        <c:dLbls>
          <c:showLegendKey val="0"/>
          <c:showVal val="0"/>
          <c:showCatName val="0"/>
          <c:showSerName val="0"/>
          <c:showPercent val="0"/>
          <c:showBubbleSize val="0"/>
          <c:showLeaderLines val="1"/>
        </c:dLbls>
        <c:firstSliceAng val="0"/>
      </c:pieChart>
      <c:spPr>
        <a:noFill/>
        <a:ln w="3175">
          <a:noFill/>
        </a:ln>
      </c:spPr>
    </c:plotArea>
    <c:legend>
      <c:legendPos val="b"/>
      <c:layout/>
      <c:overlay val="0"/>
      <c:spPr>
        <a:noFill/>
        <a:ln w="3175">
          <a:noFill/>
        </a:ln>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e21f445-ca5c-4753-a13d-33cba23efbcb}"/>
      </c:ext>
    </c:extLst>
  </c:chart>
  <c:spPr>
    <a:solidFill>
      <a:schemeClr val="bg1"/>
    </a:solidFill>
    <a:ln w="9525" cap="flat" cmpd="sng" algn="ctr">
      <a:noFill/>
      <a:prstDash val="solid"/>
      <a:round/>
    </a:ln>
    <a:effectLst/>
  </c:spPr>
  <c:txPr>
    <a:bodyPr wrap="square"/>
    <a:lstStyle/>
    <a:p>
      <a:pP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lumMod val="75000"/>
              </a:schemeClr>
            </a:solidFill>
          </c:spPr>
          <c:invertIfNegative val="0"/>
          <c:dPt>
            <c:idx val="0"/>
            <c:invertIfNegative val="0"/>
            <c:bubble3D val="0"/>
            <c:explosion val="0"/>
            <c:spPr>
              <a:solidFill>
                <a:schemeClr val="accent1">
                  <a:lumMod val="75000"/>
                </a:schemeClr>
              </a:solidFill>
            </c:spPr>
          </c:dPt>
          <c:dPt>
            <c:idx val="1"/>
            <c:invertIfNegative val="0"/>
            <c:bubble3D val="0"/>
            <c:explosion val="0"/>
            <c:spPr>
              <a:solidFill>
                <a:schemeClr val="accent1">
                  <a:lumMod val="75000"/>
                </a:schemeClr>
              </a:solidFill>
            </c:spPr>
          </c:dPt>
          <c:dPt>
            <c:idx val="2"/>
            <c:invertIfNegative val="0"/>
            <c:bubble3D val="0"/>
            <c:explosion val="0"/>
            <c:spPr>
              <a:solidFill>
                <a:schemeClr val="accent1">
                  <a:lumMod val="75000"/>
                </a:schemeClr>
              </a:solidFill>
            </c:spPr>
          </c:dPt>
          <c:dPt>
            <c:idx val="3"/>
            <c:invertIfNegative val="0"/>
            <c:bubble3D val="0"/>
            <c:explosion val="0"/>
            <c:spPr>
              <a:solidFill>
                <a:schemeClr val="accent1">
                  <a:lumMod val="75000"/>
                </a:schemeClr>
              </a:solidFill>
            </c:spPr>
          </c:dPt>
          <c:dPt>
            <c:idx val="4"/>
            <c:invertIfNegative val="0"/>
            <c:bubble3D val="0"/>
            <c:explosion val="0"/>
            <c:spPr>
              <a:solidFill>
                <a:schemeClr val="accent1">
                  <a:lumMod val="75000"/>
                </a:schemeClr>
              </a:solidFill>
            </c:spPr>
          </c:dPt>
          <c:dPt>
            <c:idx val="5"/>
            <c:invertIfNegative val="0"/>
            <c:bubble3D val="0"/>
            <c:explosion val="0"/>
            <c:spPr>
              <a:solidFill>
                <a:schemeClr val="accent1">
                  <a:lumMod val="75000"/>
                </a:schemeClr>
              </a:solidFill>
            </c:spPr>
          </c:dPt>
          <c:dPt>
            <c:idx val="6"/>
            <c:invertIfNegative val="0"/>
            <c:bubble3D val="0"/>
            <c:explosion val="0"/>
            <c:spPr>
              <a:solidFill>
                <a:schemeClr val="accent1">
                  <a:lumMod val="75000"/>
                </a:schemeClr>
              </a:solidFill>
            </c:spPr>
          </c:dPt>
          <c:dPt>
            <c:idx val="7"/>
            <c:invertIfNegative val="0"/>
            <c:bubble3D val="0"/>
            <c:explosion val="0"/>
            <c:spPr>
              <a:solidFill>
                <a:schemeClr val="accent1">
                  <a:lumMod val="75000"/>
                </a:schemeClr>
              </a:solidFill>
            </c:spPr>
          </c:dPt>
          <c:dPt>
            <c:idx val="8"/>
            <c:invertIfNegative val="0"/>
            <c:bubble3D val="0"/>
            <c:explosion val="0"/>
            <c:spPr>
              <a:solidFill>
                <a:schemeClr val="accent1">
                  <a:lumMod val="75000"/>
                </a:schemeClr>
              </a:solidFill>
            </c:spPr>
          </c:dPt>
          <c:dLbls>
            <c:dLbl>
              <c:idx val="0"/>
              <c:layout>
                <c:manualLayout>
                  <c:x val="-0.0045284339457568"/>
                  <c:y val="-0.24768288112486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0815580007922815"/>
                  <c:y val="-0.189689528461816"/>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494620114185333"/>
                  <c:y val="-0.0895955843528152"/>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0406032954342129"/>
                  <c:y val="-0.052412801926499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123456790123457"/>
                  <c:y val="-0.04540049228331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287275201710901"/>
                  <c:y val="-0.0420781645146556"/>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0163877096244238"/>
                  <c:y val="-0.042788050037946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0410912669366775"/>
                  <c:y val="-0.045124047094537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00124249743814966"/>
                  <c:y val="-0.037624047094537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'[2025届大专毕业生（就业单位流向）-6.xls]Sheet1'!$B$3:$B$11</c:f>
              <c:strCache>
                <c:ptCount val="9"/>
                <c:pt idx="0">
                  <c:v>其他企业（含民营企业等）</c:v>
                </c:pt>
                <c:pt idx="1">
                  <c:v>个体工商户</c:v>
                </c:pt>
                <c:pt idx="2">
                  <c:v>社会组织、国际组织等</c:v>
                </c:pt>
                <c:pt idx="3">
                  <c:v>中等、初等教育单位</c:v>
                </c:pt>
                <c:pt idx="4">
                  <c:v>国有企业</c:v>
                </c:pt>
                <c:pt idx="5">
                  <c:v>其他事业单位</c:v>
                </c:pt>
                <c:pt idx="6">
                  <c:v>外商投资企业</c:v>
                </c:pt>
                <c:pt idx="7">
                  <c:v>医疗卫生单位</c:v>
                </c:pt>
                <c:pt idx="8">
                  <c:v>机关</c:v>
                </c:pt>
              </c:strCache>
            </c:strRef>
          </c:cat>
          <c:val>
            <c:numRef>
              <c:f>'[2025届大专毕业生（就业单位流向）-6.xls]Sheet1'!$C$3:$C$11</c:f>
              <c:numCache>
                <c:formatCode>General</c:formatCode>
                <c:ptCount val="9"/>
                <c:pt idx="0">
                  <c:v>812</c:v>
                </c:pt>
                <c:pt idx="1">
                  <c:v>588</c:v>
                </c:pt>
                <c:pt idx="2">
                  <c:v>183</c:v>
                </c:pt>
                <c:pt idx="3">
                  <c:v>51</c:v>
                </c:pt>
                <c:pt idx="4">
                  <c:v>49</c:v>
                </c:pt>
                <c:pt idx="5">
                  <c:v>46</c:v>
                </c:pt>
                <c:pt idx="6">
                  <c:v>17</c:v>
                </c:pt>
                <c:pt idx="7">
                  <c:v>10</c:v>
                </c:pt>
                <c:pt idx="8">
                  <c:v>7</c:v>
                </c:pt>
              </c:numCache>
            </c:numRef>
          </c:val>
        </c:ser>
        <c:ser>
          <c:idx val="1"/>
          <c:order val="1"/>
          <c:spPr>
            <a:noFill/>
          </c:spPr>
          <c:invertIfNegative val="0"/>
          <c:dLbls>
            <c:delete val="1"/>
          </c:dLbls>
          <c:cat>
            <c:strRef>
              <c:f>'[2025届大专毕业生（就业单位流向）-6.xls]Sheet1'!$B$3:$B$11</c:f>
              <c:strCache>
                <c:ptCount val="9"/>
                <c:pt idx="0">
                  <c:v>其他企业（含民营企业等）</c:v>
                </c:pt>
                <c:pt idx="1">
                  <c:v>个体工商户</c:v>
                </c:pt>
                <c:pt idx="2">
                  <c:v>社会组织、国际组织等</c:v>
                </c:pt>
                <c:pt idx="3">
                  <c:v>中等、初等教育单位</c:v>
                </c:pt>
                <c:pt idx="4">
                  <c:v>国有企业</c:v>
                </c:pt>
                <c:pt idx="5">
                  <c:v>其他事业单位</c:v>
                </c:pt>
                <c:pt idx="6">
                  <c:v>外商投资企业</c:v>
                </c:pt>
                <c:pt idx="7">
                  <c:v>医疗卫生单位</c:v>
                </c:pt>
                <c:pt idx="8">
                  <c:v>机关</c:v>
                </c:pt>
              </c:strCache>
            </c:strRef>
          </c:cat>
          <c:val>
            <c:numRef>
              <c:f>'[2025届大专毕业生（就业单位流向）-6.xls]Sheet1'!$D$3:$D$11</c:f>
              <c:numCache>
                <c:formatCode>0.00%</c:formatCode>
                <c:ptCount val="9"/>
                <c:pt idx="0">
                  <c:v>0.324929971988796</c:v>
                </c:pt>
                <c:pt idx="1">
                  <c:v>0.235294117647059</c:v>
                </c:pt>
                <c:pt idx="2">
                  <c:v>0.0732292917166867</c:v>
                </c:pt>
                <c:pt idx="3">
                  <c:v>0.0204081632653061</c:v>
                </c:pt>
                <c:pt idx="4">
                  <c:v>0.0196078431372549</c:v>
                </c:pt>
                <c:pt idx="5">
                  <c:v>0.0184073629451781</c:v>
                </c:pt>
                <c:pt idx="6">
                  <c:v>0.00680272108843537</c:v>
                </c:pt>
                <c:pt idx="7">
                  <c:v>0.0040016006402561</c:v>
                </c:pt>
                <c:pt idx="8">
                  <c:v>0.00280112044817927</c:v>
                </c:pt>
              </c:numCache>
            </c:numRef>
          </c:val>
        </c:ser>
        <c:dLbls>
          <c:showLegendKey val="0"/>
          <c:showVal val="0"/>
          <c:showCatName val="0"/>
          <c:showSerName val="0"/>
          <c:showPercent val="0"/>
          <c:showBubbleSize val="0"/>
        </c:dLbls>
        <c:gapWidth val="55"/>
        <c:overlap val="100"/>
        <c:axId val="39925497"/>
        <c:axId val="203182649"/>
      </c:barChart>
      <c:catAx>
        <c:axId val="39925497"/>
        <c:scaling>
          <c:orientation val="minMax"/>
        </c:scaling>
        <c:delete val="0"/>
        <c:axPos val="b"/>
        <c:majorTickMark val="none"/>
        <c:minorTickMark val="none"/>
        <c:tickLblPos val="nextTo"/>
        <c:txPr>
          <a:bodyPr rot="-2700000" spcFirstLastPara="0" vertOverflow="ellipsis" vert="horz" wrap="square" anchor="ctr" anchorCtr="1"/>
          <a:lstStyle/>
          <a:p>
            <a:pPr>
              <a:defRPr lang="zh-CN" sz="10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203182649"/>
        <c:crosses val="autoZero"/>
        <c:auto val="1"/>
        <c:lblAlgn val="ctr"/>
        <c:lblOffset val="100"/>
        <c:noMultiLvlLbl val="0"/>
      </c:catAx>
      <c:valAx>
        <c:axId val="203182649"/>
        <c:scaling>
          <c:orientation val="minMax"/>
        </c:scaling>
        <c:delete val="0"/>
        <c:axPos val="l"/>
        <c:majorGridlines/>
        <c:numFmt formatCode="General" sourceLinked="1"/>
        <c:majorTickMark val="none"/>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39925497"/>
        <c:crosses val="autoZero"/>
        <c:crossBetween val="between"/>
      </c:valAx>
      <c:spPr>
        <a:solidFill>
          <a:srgbClr val="FFFFFF">
            <a:alpha val="100000"/>
          </a:srgbClr>
        </a:solidFill>
        <a:ln w="3175">
          <a:noFill/>
        </a:ln>
      </c:spPr>
    </c:plotArea>
    <c:plotVisOnly val="1"/>
    <c:dispBlanksAs val="gap"/>
    <c:showDLblsOverMax val="0"/>
    <c:extLst>
      <c:ext uri="{0b15fc19-7d7d-44ad-8c2d-2c3a37ce22c3}">
        <chartProps xmlns="https://web.wps.cn/et/2018/main" chartId="{6da48e27-0962-401f-8296-045590f515cb}"/>
      </c:ext>
    </c:extLst>
  </c:chart>
  <c:spPr>
    <a:noFill/>
    <a:ln w="9525" cap="flat" cmpd="sng" algn="ctr">
      <a:noFill/>
      <a:prstDash val="solid"/>
      <a:round/>
    </a:ln>
  </c:spPr>
  <c:txPr>
    <a:bodyPr rot="0" wrap="square" anchor="ctr" anchorCtr="1"/>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243122200895713"/>
          <c:y val="0.154085305988873"/>
          <c:w val="0.943698016634677"/>
          <c:h val="0.804516199410931"/>
        </c:manualLayout>
      </c:layout>
      <c:pieChart>
        <c:varyColors val="1"/>
        <c:ser>
          <c:idx val="1"/>
          <c:order val="0"/>
          <c:spPr/>
          <c:explosion val="0"/>
          <c:dPt>
            <c:idx val="0"/>
            <c:bubble3D val="0"/>
            <c:spPr>
              <a:solidFill>
                <a:srgbClr val="4F81BD">
                  <a:lumMod val="75000"/>
                </a:srgbClr>
              </a:solidFill>
              <a:ln>
                <a:solidFill>
                  <a:schemeClr val="bg1"/>
                </a:solidFill>
              </a:ln>
              <a:effectLst/>
            </c:spPr>
          </c:dPt>
          <c:dPt>
            <c:idx val="1"/>
            <c:bubble3D val="0"/>
            <c:spPr>
              <a:solidFill>
                <a:srgbClr val="4F81BD">
                  <a:lumMod val="60000"/>
                  <a:lumOff val="40000"/>
                </a:srgbClr>
              </a:solidFill>
              <a:ln>
                <a:solidFill>
                  <a:schemeClr val="bg1"/>
                </a:solidFill>
              </a:ln>
              <a:effectLst/>
            </c:spPr>
          </c:dPt>
          <c:dPt>
            <c:idx val="2"/>
            <c:bubble3D val="0"/>
            <c:spPr>
              <a:solidFill>
                <a:srgbClr val="4F81BD">
                  <a:lumMod val="40000"/>
                  <a:lumOff val="60000"/>
                </a:srgbClr>
              </a:solidFill>
              <a:ln>
                <a:solidFill>
                  <a:schemeClr val="bg1"/>
                </a:solidFill>
              </a:ln>
              <a:effectLst/>
            </c:spPr>
          </c:dPt>
          <c:dLbls>
            <c:dLbl>
              <c:idx val="0"/>
              <c:layout>
                <c:manualLayout>
                  <c:x val="-0.158524859456415"/>
                  <c:y val="-0.320734995909403"/>
                </c:manualLayout>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inEnd"/>
              <c:showLegendKey val="0"/>
              <c:showVal val="1"/>
              <c:showCatName val="0"/>
              <c:showSerName val="0"/>
              <c:showPercent val="0"/>
              <c:showBubbleSize val="0"/>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in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'[2025届毕业生（单位规模）-9.xlsx]Sheet1'!$K$4:$M$4</c:f>
              <c:strCache>
                <c:ptCount val="3"/>
                <c:pt idx="0">
                  <c:v>小微企业</c:v>
                </c:pt>
                <c:pt idx="1">
                  <c:v>中型企业</c:v>
                </c:pt>
                <c:pt idx="2">
                  <c:v>大型企业</c:v>
                </c:pt>
              </c:strCache>
            </c:strRef>
          </c:cat>
          <c:val>
            <c:numRef>
              <c:f>'[2025届毕业生（单位规模）-9.xlsx]Sheet1'!$K$5:$M$5</c:f>
              <c:numCache>
                <c:formatCode>0.00%</c:formatCode>
                <c:ptCount val="3"/>
                <c:pt idx="0">
                  <c:v>0.83466819221968</c:v>
                </c:pt>
                <c:pt idx="1">
                  <c:v>0.101830663615561</c:v>
                </c:pt>
                <c:pt idx="2">
                  <c:v>0.0635011441647597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500674308833446"/>
          <c:y val="0.94408032352531"/>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legend>
    <c:plotVisOnly val="1"/>
    <c:dispBlanksAs val="gap"/>
    <c:showDLblsOverMax val="0"/>
    <c:extLst>
      <c:ext uri="{0b15fc19-7d7d-44ad-8c2d-2c3a37ce22c3}">
        <chartProps xmlns="https://web.wps.cn/et/2018/main" chartId="{ffcba8fa-d3eb-4dee-8d6d-bb94d978d12c}"/>
      </c:ext>
    </c:extLst>
  </c:chart>
  <c:spPr>
    <a:solidFill>
      <a:schemeClr val="bg1"/>
    </a:solidFill>
    <a:ln w="9525" cap="flat" cmpd="sng" algn="ctr">
      <a:noFill/>
      <a:round/>
    </a:ln>
    <a:effectLst/>
  </c:spPr>
  <c:txPr>
    <a:bodyPr/>
    <a:lstStyle/>
    <a:p>
      <a:pPr>
        <a:defRPr lang="zh-CN">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dLbl>
              <c:idx val="0"/>
              <c:layout>
                <c:manualLayout>
                  <c:x val="-0.0430663221360896"/>
                  <c:y val="0.0278243355866284"/>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0716131413805832"/>
                      <c:h val="0.0235206963607741"/>
                    </c:manualLayout>
                  </c15:layout>
                </c:ext>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6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'[2025届大专毕业生（就业行业流向）-5.xls]Sheet1'!$B$3:$B$22</c:f>
              <c:strCache>
                <c:ptCount val="20"/>
                <c:pt idx="0">
                  <c:v>教育</c:v>
                </c:pt>
                <c:pt idx="1">
                  <c:v>批发和零售业</c:v>
                </c:pt>
                <c:pt idx="2">
                  <c:v>农、林、牧、渔业</c:v>
                </c:pt>
                <c:pt idx="3">
                  <c:v>制造业</c:v>
                </c:pt>
                <c:pt idx="4">
                  <c:v>居民服务、修理和其他服务业</c:v>
                </c:pt>
                <c:pt idx="5">
                  <c:v>建筑业</c:v>
                </c:pt>
                <c:pt idx="6">
                  <c:v>租赁和商务服务业</c:v>
                </c:pt>
                <c:pt idx="7">
                  <c:v>卫生和社会工作</c:v>
                </c:pt>
                <c:pt idx="8">
                  <c:v>科学研究和技术服务业</c:v>
                </c:pt>
                <c:pt idx="9">
                  <c:v>文化、体育和娱乐业</c:v>
                </c:pt>
                <c:pt idx="10">
                  <c:v>住宿和餐饮业</c:v>
                </c:pt>
                <c:pt idx="11">
                  <c:v>信息传输、软件和信息技术服务业</c:v>
                </c:pt>
                <c:pt idx="12">
                  <c:v>交通运输、仓储和邮政业</c:v>
                </c:pt>
                <c:pt idx="13">
                  <c:v>房地产业</c:v>
                </c:pt>
                <c:pt idx="14">
                  <c:v>公共管理、社会保障和社会组织</c:v>
                </c:pt>
                <c:pt idx="15">
                  <c:v>电力、热力、燃气及水生产和供应业</c:v>
                </c:pt>
                <c:pt idx="16">
                  <c:v>水利、环境和公共设施管理业</c:v>
                </c:pt>
                <c:pt idx="17">
                  <c:v>采矿业</c:v>
                </c:pt>
                <c:pt idx="18">
                  <c:v>金融业</c:v>
                </c:pt>
                <c:pt idx="19">
                  <c:v>国际组织</c:v>
                </c:pt>
              </c:strCache>
            </c:strRef>
          </c:cat>
          <c:val>
            <c:numRef>
              <c:f>'[2025届大专毕业生（就业行业流向）-5.xls]Sheet1'!$D$3:$D$22</c:f>
              <c:numCache>
                <c:formatCode>0.00%</c:formatCode>
                <c:ptCount val="20"/>
                <c:pt idx="0">
                  <c:v>0.170164492342598</c:v>
                </c:pt>
                <c:pt idx="1">
                  <c:v>0.131593874078276</c:v>
                </c:pt>
                <c:pt idx="2">
                  <c:v>0.112308564946115</c:v>
                </c:pt>
                <c:pt idx="3">
                  <c:v>0.0986954055587067</c:v>
                </c:pt>
                <c:pt idx="4">
                  <c:v>0.0862166761202496</c:v>
                </c:pt>
                <c:pt idx="5">
                  <c:v>0.0606920022688599</c:v>
                </c:pt>
                <c:pt idx="6">
                  <c:v>0.0550198525241066</c:v>
                </c:pt>
                <c:pt idx="7">
                  <c:v>0.0499149177538287</c:v>
                </c:pt>
                <c:pt idx="8">
                  <c:v>0.0459444129325014</c:v>
                </c:pt>
                <c:pt idx="9">
                  <c:v>0.0442427680090754</c:v>
                </c:pt>
                <c:pt idx="10">
                  <c:v>0.0442427680090754</c:v>
                </c:pt>
                <c:pt idx="11">
                  <c:v>0.0431083380601248</c:v>
                </c:pt>
                <c:pt idx="12">
                  <c:v>0.0136131593874078</c:v>
                </c:pt>
                <c:pt idx="13">
                  <c:v>0.0107770845150312</c:v>
                </c:pt>
                <c:pt idx="14">
                  <c:v>0.0107770845150312</c:v>
                </c:pt>
                <c:pt idx="15">
                  <c:v>0.0102098695405559</c:v>
                </c:pt>
                <c:pt idx="16">
                  <c:v>0.00737379466817924</c:v>
                </c:pt>
                <c:pt idx="17">
                  <c:v>0.00283607487237663</c:v>
                </c:pt>
                <c:pt idx="18">
                  <c:v>0.00170164492342598</c:v>
                </c:pt>
                <c:pt idx="19">
                  <c:v>0.000567214974475326</c:v>
                </c:pt>
              </c:numCache>
            </c:numRef>
          </c:val>
        </c:ser>
        <c:dLbls>
          <c:showLegendKey val="0"/>
          <c:showVal val="1"/>
          <c:showCatName val="0"/>
          <c:showSerName val="0"/>
          <c:showPercent val="0"/>
          <c:showBubbleSize val="0"/>
        </c:dLbls>
        <c:gapWidth val="260"/>
        <c:overlap val="0"/>
        <c:axId val="92629137"/>
        <c:axId val="347810246"/>
      </c:barChart>
      <c:catAx>
        <c:axId val="92629137"/>
        <c:scaling>
          <c:orientation val="minMax"/>
        </c:scaling>
        <c:delete val="0"/>
        <c:axPos val="l"/>
        <c:majorTickMark val="out"/>
        <c:minorTickMark val="none"/>
        <c:tickLblPos val="nextTo"/>
        <c:spPr>
          <a:noFill/>
          <a:ln w="6350" cap="flat" cmpd="sng" algn="ctr">
            <a:solidFill>
              <a:schemeClr val="accent1">
                <a:alpha val="25000"/>
              </a:schemeClr>
            </a:solidFill>
            <a:prstDash val="solid"/>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347810246"/>
        <c:crosses val="autoZero"/>
        <c:auto val="1"/>
        <c:lblAlgn val="ctr"/>
        <c:lblOffset val="100"/>
        <c:noMultiLvlLbl val="0"/>
      </c:catAx>
      <c:valAx>
        <c:axId val="347810246"/>
        <c:scaling>
          <c:orientation val="minMax"/>
        </c:scaling>
        <c:delete val="1"/>
        <c:axPos val="b"/>
        <c:majorGridlines>
          <c:spPr>
            <a:ln w="6350" cap="flat" cmpd="sng" algn="ctr">
              <a:solidFill>
                <a:schemeClr val="tx1">
                  <a:lumMod val="50000"/>
                  <a:lumOff val="50000"/>
                  <a:alpha val="25000"/>
                </a:schemeClr>
              </a:solidFill>
              <a:prstDash val="solid"/>
              <a:round/>
            </a:ln>
            <a:effectLst/>
          </c:spPr>
        </c:majorGridlines>
        <c:numFmt formatCode="0.00%"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rgbClr val="404040">
                    <a:alpha val="100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92629137"/>
        <c:crosses val="autoZero"/>
        <c:crossBetween val="between"/>
      </c:valAx>
      <c:spPr>
        <a:noFill/>
        <a:ln>
          <a:noFill/>
        </a:ln>
        <a:effectLst/>
      </c:spPr>
    </c:plotArea>
    <c:plotVisOnly val="1"/>
    <c:dispBlanksAs val="gap"/>
    <c:showDLblsOverMax val="0"/>
    <c:extLst>
      <c:ext uri="{0b15fc19-7d7d-44ad-8c2d-2c3a37ce22c3}">
        <chartProps xmlns="https://web.wps.cn/et/2018/main" chartId="{9064da01-44e6-4bbb-aa73-23676e43f8ed}"/>
      </c:ext>
    </c:extLst>
  </c:chart>
  <c:spPr>
    <a:solidFill>
      <a:schemeClr val="bg1"/>
    </a:solidFill>
    <a:ln w="6350" cap="flat" cmpd="sng" algn="ctr">
      <a:noFill/>
      <a:prstDash val="solid"/>
      <a:round/>
    </a:ln>
    <a:effectLst/>
  </c:spPr>
  <c:txPr>
    <a:bodyPr wrap="square"/>
    <a:lstStyle/>
    <a:p>
      <a:pPr>
        <a:defRPr lang="zh-CN" sz="90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w="19050">
              <a:solidFill>
                <a:schemeClr val="lt1"/>
              </a:solidFill>
            </a:ln>
            <a:effectLst/>
          </c:spPr>
          <c:invertIfNegative val="0"/>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1"/>
              <c:showBubbleSize val="1"/>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1"/>
              <c:showBubbleSize val="1"/>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1"/>
              <c:showBubbleSize val="1"/>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1"/>
              <c:showBubbleSize val="1"/>
              <c:extLst>
                <c:ext xmlns:c15="http://schemas.microsoft.com/office/drawing/2012/chart" uri="{CE6537A1-D6FC-4f65-9D91-7224C49458BB}"/>
              </c:extLst>
            </c:dLbl>
            <c:dLbl>
              <c:idx val="4"/>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1"/>
              <c:showBubbleSize val="1"/>
              <c:extLst>
                <c:ext xmlns:c15="http://schemas.microsoft.com/office/drawing/2012/chart" uri="{CE6537A1-D6FC-4f65-9D91-7224C49458BB}"/>
              </c:extLst>
            </c:dLbl>
            <c:dLbl>
              <c:idx val="5"/>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1"/>
              <c:showBubbleSize val="1"/>
              <c:extLst>
                <c:ext xmlns:c15="http://schemas.microsoft.com/office/drawing/2012/chart" uri="{CE6537A1-D6FC-4f65-9D91-7224C49458BB}"/>
              </c:extLst>
            </c:dLbl>
            <c:dLbl>
              <c:idx val="6"/>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1"/>
              <c:showBubbleSize val="1"/>
              <c:extLst>
                <c:ext xmlns:c15="http://schemas.microsoft.com/office/drawing/2012/chart" uri="{CE6537A1-D6FC-4f65-9D91-7224C49458BB}"/>
              </c:extLst>
            </c:dLbl>
            <c:dLbl>
              <c:idx val="7"/>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1"/>
              <c:showBubbleSize val="1"/>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1"/>
            <c:showLeaderLines val="0"/>
            <c:extLst>
              <c:ext xmlns:c15="http://schemas.microsoft.com/office/drawing/2012/chart" uri="{CE6537A1-D6FC-4f65-9D91-7224C49458BB}">
                <c15:layout/>
                <c15:showLeaderLines val="0"/>
                <c15:leaderLines/>
              </c:ext>
            </c:extLst>
          </c:dLbls>
          <c:cat>
            <c:strRef>
              <c:f>'[2025届大专毕业生（就业职业流向）-3.xls]Sheet1'!$B$3:$B$19</c:f>
              <c:strCache>
                <c:ptCount val="17"/>
                <c:pt idx="0">
                  <c:v>其他人员</c:v>
                </c:pt>
                <c:pt idx="1">
                  <c:v>教学人员</c:v>
                </c:pt>
                <c:pt idx="2">
                  <c:v>农林牧渔业技术人员</c:v>
                </c:pt>
                <c:pt idx="3">
                  <c:v>商业和服务人员</c:v>
                </c:pt>
                <c:pt idx="4">
                  <c:v>工程技术人员</c:v>
                </c:pt>
                <c:pt idx="5">
                  <c:v>办事人员和有关人员</c:v>
                </c:pt>
                <c:pt idx="6">
                  <c:v>其他专业技术人员</c:v>
                </c:pt>
                <c:pt idx="7">
                  <c:v>生产和运输设备操作人员</c:v>
                </c:pt>
                <c:pt idx="8">
                  <c:v>卫生专业技术人员</c:v>
                </c:pt>
                <c:pt idx="9">
                  <c:v>经济业务人员</c:v>
                </c:pt>
                <c:pt idx="10">
                  <c:v>文学艺术工作人员</c:v>
                </c:pt>
                <c:pt idx="11">
                  <c:v>金融业务人员</c:v>
                </c:pt>
                <c:pt idx="12">
                  <c:v>新闻出版和文化工作人员</c:v>
                </c:pt>
                <c:pt idx="13">
                  <c:v>科学研究人员</c:v>
                </c:pt>
                <c:pt idx="14">
                  <c:v>公务员</c:v>
                </c:pt>
                <c:pt idx="15">
                  <c:v>店长</c:v>
                </c:pt>
                <c:pt idx="16">
                  <c:v>体育工作人员</c:v>
                </c:pt>
              </c:strCache>
            </c:strRef>
          </c:cat>
          <c:val>
            <c:numRef>
              <c:f>'[2025届大专毕业生（就业职业流向）-3.xls]Sheet1'!$D$3:$D$19</c:f>
              <c:numCache>
                <c:formatCode>0.00%</c:formatCode>
                <c:ptCount val="17"/>
                <c:pt idx="0">
                  <c:v>0.361158432708688</c:v>
                </c:pt>
                <c:pt idx="1">
                  <c:v>0.161272004542873</c:v>
                </c:pt>
                <c:pt idx="2">
                  <c:v>0.11641113003975</c:v>
                </c:pt>
                <c:pt idx="3">
                  <c:v>0.0897217490062465</c:v>
                </c:pt>
                <c:pt idx="4">
                  <c:v>0.0783645655877342</c:v>
                </c:pt>
                <c:pt idx="5">
                  <c:v>0.0607609312890403</c:v>
                </c:pt>
                <c:pt idx="6">
                  <c:v>0.0579216354344123</c:v>
                </c:pt>
                <c:pt idx="7">
                  <c:v>0.0312322544009086</c:v>
                </c:pt>
                <c:pt idx="8">
                  <c:v>0.02328222600795</c:v>
                </c:pt>
                <c:pt idx="9">
                  <c:v>0.0107893242475866</c:v>
                </c:pt>
                <c:pt idx="10">
                  <c:v>0.00511073253833049</c:v>
                </c:pt>
                <c:pt idx="11">
                  <c:v>0.00113571834185122</c:v>
                </c:pt>
                <c:pt idx="12">
                  <c:v>0.00056785917092561</c:v>
                </c:pt>
                <c:pt idx="13">
                  <c:v>0.00056785917092561</c:v>
                </c:pt>
                <c:pt idx="14">
                  <c:v>0.00056785917092561</c:v>
                </c:pt>
                <c:pt idx="15">
                  <c:v>0.00056785917092561</c:v>
                </c:pt>
                <c:pt idx="16">
                  <c:v>0.00056785917092561</c:v>
                </c:pt>
              </c:numCache>
            </c:numRef>
          </c:val>
        </c:ser>
        <c:dLbls>
          <c:showLegendKey val="0"/>
          <c:showVal val="0"/>
          <c:showCatName val="0"/>
          <c:showSerName val="0"/>
          <c:showPercent val="0"/>
          <c:showBubbleSize val="0"/>
        </c:dLbls>
        <c:gapWidth val="150"/>
        <c:overlap val="0"/>
        <c:axId val="177141511"/>
        <c:axId val="194123823"/>
      </c:barChart>
      <c:catAx>
        <c:axId val="177141511"/>
        <c:scaling>
          <c:orientation val="minMax"/>
        </c:scaling>
        <c:delete val="0"/>
        <c:axPos val="l"/>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194123823"/>
        <c:crosses val="autoZero"/>
        <c:auto val="1"/>
        <c:lblAlgn val="ctr"/>
        <c:lblOffset val="100"/>
        <c:noMultiLvlLbl val="0"/>
      </c:catAx>
      <c:valAx>
        <c:axId val="194123823"/>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0.00%" sourceLinked="1"/>
        <c:majorTickMark val="out"/>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7141511"/>
        <c:crosses val="autoZero"/>
        <c:crossBetween val="between"/>
      </c:valAx>
      <c:spPr>
        <a:noFill/>
        <a:ln>
          <a:noFill/>
        </a:ln>
        <a:effectLst/>
      </c:spPr>
    </c:plotArea>
    <c:plotVisOnly val="1"/>
    <c:dispBlanksAs val="gap"/>
    <c:showDLblsOverMax val="0"/>
    <c:extLst>
      <c:ext uri="{0b15fc19-7d7d-44ad-8c2d-2c3a37ce22c3}">
        <chartProps xmlns="https://web.wps.cn/et/2018/main" chartId="{fe3268c3-8f94-4fb1-8972-946459c9b8e3}"/>
      </c:ext>
    </c:extLst>
  </c:chart>
  <c:spPr>
    <a:solidFill>
      <a:schemeClr val="bg1"/>
    </a:solidFill>
    <a:ln w="9525" cap="flat" cmpd="sng" algn="ctr">
      <a:noFill/>
      <a:prstDash val="solid"/>
      <a:round/>
    </a:ln>
    <a:effectLst/>
  </c:spPr>
  <c:txPr>
    <a:bodyPr wrap="square"/>
    <a:lstStyle/>
    <a:p>
      <a:pPr>
        <a:defRPr lang="zh-CN"/>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'[2025届大专毕业生（升学）.xlsx]Sheet2'!$B$1</c:f>
              <c:strCache>
                <c:ptCount val="1"/>
                <c:pt idx="0">
                  <c:v>计数</c:v>
                </c:pt>
              </c:strCache>
            </c:strRef>
          </c:tx>
          <c:spPr>
            <a:solidFill>
              <a:schemeClr val="accent1"/>
            </a:solidFill>
            <a:ln>
              <a:noFill/>
            </a:ln>
            <a:effectLst/>
          </c:spPr>
          <c:invertIfNegative val="0"/>
          <c:dLbls>
            <c:delete val="1"/>
          </c:dLbls>
          <c:cat>
            <c:strRef>
              <c:f>'[2025届大专毕业生（升学）.xlsx]Sheet2'!$A$2:$A$35</c:f>
              <c:strCache>
                <c:ptCount val="34"/>
                <c:pt idx="0">
                  <c:v>辽东学院</c:v>
                </c:pt>
                <c:pt idx="1">
                  <c:v>鞍山师范学院</c:v>
                </c:pt>
                <c:pt idx="2">
                  <c:v>朝阳师范学院</c:v>
                </c:pt>
                <c:pt idx="3">
                  <c:v>辽宁何氏医学院</c:v>
                </c:pt>
                <c:pt idx="4">
                  <c:v>辽宁科技学院</c:v>
                </c:pt>
                <c:pt idx="5">
                  <c:v>大连东软信息学院</c:v>
                </c:pt>
                <c:pt idx="6">
                  <c:v>沈阳大学</c:v>
                </c:pt>
                <c:pt idx="7">
                  <c:v>大连海洋大学</c:v>
                </c:pt>
                <c:pt idx="8">
                  <c:v>大连财经学院</c:v>
                </c:pt>
                <c:pt idx="9">
                  <c:v>锦州医科大学</c:v>
                </c:pt>
                <c:pt idx="10">
                  <c:v>大连艺术学院</c:v>
                </c:pt>
                <c:pt idx="11">
                  <c:v>沈阳工程学院</c:v>
                </c:pt>
                <c:pt idx="12">
                  <c:v>大连科技学院</c:v>
                </c:pt>
                <c:pt idx="13">
                  <c:v>辽宁科技大学</c:v>
                </c:pt>
                <c:pt idx="14">
                  <c:v>辽宁理工职业大学</c:v>
                </c:pt>
                <c:pt idx="15">
                  <c:v>沈阳城市建设学院</c:v>
                </c:pt>
                <c:pt idx="16">
                  <c:v>沈阳工学院</c:v>
                </c:pt>
                <c:pt idx="17">
                  <c:v>沈阳医学院</c:v>
                </c:pt>
                <c:pt idx="18">
                  <c:v>辽宁工程技术大学</c:v>
                </c:pt>
                <c:pt idx="19">
                  <c:v>辽宁工业大学</c:v>
                </c:pt>
                <c:pt idx="20">
                  <c:v>沈阳城市学院</c:v>
                </c:pt>
                <c:pt idx="21">
                  <c:v>沈阳农业大学</c:v>
                </c:pt>
                <c:pt idx="22">
                  <c:v>辽宁对外经贸学院</c:v>
                </c:pt>
                <c:pt idx="23">
                  <c:v>辽宁理工学院</c:v>
                </c:pt>
                <c:pt idx="24">
                  <c:v>大连工业大学</c:v>
                </c:pt>
                <c:pt idx="25">
                  <c:v>沈阳航空航天大学</c:v>
                </c:pt>
                <c:pt idx="26">
                  <c:v>沈阳科技学院</c:v>
                </c:pt>
                <c:pt idx="27">
                  <c:v>拉蒙尤以大学</c:v>
                </c:pt>
                <c:pt idx="28">
                  <c:v>辽宁财贸学院</c:v>
                </c:pt>
                <c:pt idx="29">
                  <c:v>辽宁传媒学院</c:v>
                </c:pt>
                <c:pt idx="30">
                  <c:v>沈阳工业大学</c:v>
                </c:pt>
                <c:pt idx="31">
                  <c:v>沈阳工业大学辽阳分校</c:v>
                </c:pt>
                <c:pt idx="32">
                  <c:v>沈阳化工大学</c:v>
                </c:pt>
                <c:pt idx="33">
                  <c:v>沈阳科技大学</c:v>
                </c:pt>
              </c:strCache>
            </c:strRef>
          </c:cat>
          <c:val>
            <c:numRef>
              <c:f>'[2025届大专毕业生（升学）.xlsx]Sheet2'!$B$2:$B$35</c:f>
              <c:numCache>
                <c:formatCode>General</c:formatCode>
                <c:ptCount val="34"/>
                <c:pt idx="0">
                  <c:v>42</c:v>
                </c:pt>
                <c:pt idx="1">
                  <c:v>37</c:v>
                </c:pt>
                <c:pt idx="2">
                  <c:v>29</c:v>
                </c:pt>
                <c:pt idx="3">
                  <c:v>26</c:v>
                </c:pt>
                <c:pt idx="4">
                  <c:v>20</c:v>
                </c:pt>
                <c:pt idx="5">
                  <c:v>14</c:v>
                </c:pt>
                <c:pt idx="6">
                  <c:v>14</c:v>
                </c:pt>
                <c:pt idx="7">
                  <c:v>13</c:v>
                </c:pt>
                <c:pt idx="8">
                  <c:v>10</c:v>
                </c:pt>
                <c:pt idx="9">
                  <c:v>8</c:v>
                </c:pt>
                <c:pt idx="10">
                  <c:v>7</c:v>
                </c:pt>
                <c:pt idx="11">
                  <c:v>7</c:v>
                </c:pt>
                <c:pt idx="12">
                  <c:v>5</c:v>
                </c:pt>
                <c:pt idx="13">
                  <c:v>5</c:v>
                </c:pt>
                <c:pt idx="14">
                  <c:v>5</c:v>
                </c:pt>
                <c:pt idx="15">
                  <c:v>5</c:v>
                </c:pt>
                <c:pt idx="16">
                  <c:v>5</c:v>
                </c:pt>
                <c:pt idx="17">
                  <c:v>5</c:v>
                </c:pt>
                <c:pt idx="18">
                  <c:v>4</c:v>
                </c:pt>
                <c:pt idx="19">
                  <c:v>4</c:v>
                </c:pt>
                <c:pt idx="20">
                  <c:v>4</c:v>
                </c:pt>
                <c:pt idx="21">
                  <c:v>4</c:v>
                </c:pt>
                <c:pt idx="22">
                  <c:v>3</c:v>
                </c:pt>
                <c:pt idx="23">
                  <c:v>3</c:v>
                </c:pt>
                <c:pt idx="24">
                  <c:v>2</c:v>
                </c:pt>
                <c:pt idx="25">
                  <c:v>2</c:v>
                </c:pt>
                <c:pt idx="26">
                  <c:v>2</c:v>
                </c:pt>
                <c:pt idx="27">
                  <c:v>1</c:v>
                </c:pt>
                <c:pt idx="28">
                  <c:v>1</c:v>
                </c:pt>
                <c:pt idx="29">
                  <c:v>1</c:v>
                </c:pt>
                <c:pt idx="30">
                  <c:v>1</c:v>
                </c:pt>
                <c:pt idx="31">
                  <c:v>1</c:v>
                </c:pt>
                <c:pt idx="32">
                  <c:v>1</c:v>
                </c:pt>
                <c:pt idx="33">
                  <c:v>1</c:v>
                </c:pt>
              </c:numCache>
            </c:numRef>
          </c:val>
        </c:ser>
        <c:dLbls>
          <c:showLegendKey val="0"/>
          <c:showVal val="0"/>
          <c:showCatName val="0"/>
          <c:showSerName val="0"/>
          <c:showPercent val="0"/>
          <c:showBubbleSize val="0"/>
        </c:dLbls>
        <c:gapWidth val="219"/>
        <c:overlap val="-27"/>
        <c:axId val="394893920"/>
        <c:axId val="394910560"/>
      </c:barChart>
      <c:lineChart>
        <c:grouping val="standard"/>
        <c:varyColors val="0"/>
        <c:ser>
          <c:idx val="1"/>
          <c:order val="1"/>
          <c:tx>
            <c:strRef>
              <c:f>'[2025届大专毕业生（升学）.xlsx]Sheet2'!$C$1</c:f>
              <c:strCache>
                <c:ptCount val="1"/>
                <c:pt idx="0">
                  <c:v>占比</c:v>
                </c:pt>
              </c:strCache>
            </c:strRef>
          </c:tx>
          <c:spPr>
            <a:ln w="28575" cap="rnd">
              <a:solidFill>
                <a:schemeClr val="accent2"/>
              </a:solidFill>
              <a:round/>
            </a:ln>
            <a:effectLst/>
          </c:spPr>
          <c:marker>
            <c:symbol val="none"/>
          </c:marker>
          <c:dLbls>
            <c:delete val="1"/>
          </c:dLbls>
          <c:cat>
            <c:strRef>
              <c:f>'[2025届大专毕业生（升学）.xlsx]Sheet2'!$A$2:$A$35</c:f>
              <c:strCache>
                <c:ptCount val="34"/>
                <c:pt idx="0">
                  <c:v>辽东学院</c:v>
                </c:pt>
                <c:pt idx="1">
                  <c:v>鞍山师范学院</c:v>
                </c:pt>
                <c:pt idx="2">
                  <c:v>朝阳师范学院</c:v>
                </c:pt>
                <c:pt idx="3">
                  <c:v>辽宁何氏医学院</c:v>
                </c:pt>
                <c:pt idx="4">
                  <c:v>辽宁科技学院</c:v>
                </c:pt>
                <c:pt idx="5">
                  <c:v>大连东软信息学院</c:v>
                </c:pt>
                <c:pt idx="6">
                  <c:v>沈阳大学</c:v>
                </c:pt>
                <c:pt idx="7">
                  <c:v>大连海洋大学</c:v>
                </c:pt>
                <c:pt idx="8">
                  <c:v>大连财经学院</c:v>
                </c:pt>
                <c:pt idx="9">
                  <c:v>锦州医科大学</c:v>
                </c:pt>
                <c:pt idx="10">
                  <c:v>大连艺术学院</c:v>
                </c:pt>
                <c:pt idx="11">
                  <c:v>沈阳工程学院</c:v>
                </c:pt>
                <c:pt idx="12">
                  <c:v>大连科技学院</c:v>
                </c:pt>
                <c:pt idx="13">
                  <c:v>辽宁科技大学</c:v>
                </c:pt>
                <c:pt idx="14">
                  <c:v>辽宁理工职业大学</c:v>
                </c:pt>
                <c:pt idx="15">
                  <c:v>沈阳城市建设学院</c:v>
                </c:pt>
                <c:pt idx="16">
                  <c:v>沈阳工学院</c:v>
                </c:pt>
                <c:pt idx="17">
                  <c:v>沈阳医学院</c:v>
                </c:pt>
                <c:pt idx="18">
                  <c:v>辽宁工程技术大学</c:v>
                </c:pt>
                <c:pt idx="19">
                  <c:v>辽宁工业大学</c:v>
                </c:pt>
                <c:pt idx="20">
                  <c:v>沈阳城市学院</c:v>
                </c:pt>
                <c:pt idx="21">
                  <c:v>沈阳农业大学</c:v>
                </c:pt>
                <c:pt idx="22">
                  <c:v>辽宁对外经贸学院</c:v>
                </c:pt>
                <c:pt idx="23">
                  <c:v>辽宁理工学院</c:v>
                </c:pt>
                <c:pt idx="24">
                  <c:v>大连工业大学</c:v>
                </c:pt>
                <c:pt idx="25">
                  <c:v>沈阳航空航天大学</c:v>
                </c:pt>
                <c:pt idx="26">
                  <c:v>沈阳科技学院</c:v>
                </c:pt>
                <c:pt idx="27">
                  <c:v>拉蒙尤以大学</c:v>
                </c:pt>
                <c:pt idx="28">
                  <c:v>辽宁财贸学院</c:v>
                </c:pt>
                <c:pt idx="29">
                  <c:v>辽宁传媒学院</c:v>
                </c:pt>
                <c:pt idx="30">
                  <c:v>沈阳工业大学</c:v>
                </c:pt>
                <c:pt idx="31">
                  <c:v>沈阳工业大学辽阳分校</c:v>
                </c:pt>
                <c:pt idx="32">
                  <c:v>沈阳化工大学</c:v>
                </c:pt>
                <c:pt idx="33">
                  <c:v>沈阳科技大学</c:v>
                </c:pt>
              </c:strCache>
            </c:strRef>
          </c:cat>
          <c:val>
            <c:numRef>
              <c:f>'[2025届大专毕业生（升学）.xlsx]Sheet2'!$C$2:$C$35</c:f>
              <c:numCache>
                <c:formatCode>0.00%</c:formatCode>
                <c:ptCount val="34"/>
                <c:pt idx="0">
                  <c:v>0.143835616438356</c:v>
                </c:pt>
                <c:pt idx="1">
                  <c:v>0.126712328767123</c:v>
                </c:pt>
                <c:pt idx="2">
                  <c:v>0.0993150684931507</c:v>
                </c:pt>
                <c:pt idx="3">
                  <c:v>0.089041095890411</c:v>
                </c:pt>
                <c:pt idx="4">
                  <c:v>0.0684931506849315</c:v>
                </c:pt>
                <c:pt idx="5">
                  <c:v>0.0479452054794521</c:v>
                </c:pt>
                <c:pt idx="6">
                  <c:v>0.0479452054794521</c:v>
                </c:pt>
                <c:pt idx="7">
                  <c:v>0.0445205479452055</c:v>
                </c:pt>
                <c:pt idx="8">
                  <c:v>0.0342465753424658</c:v>
                </c:pt>
                <c:pt idx="9">
                  <c:v>0.0273972602739726</c:v>
                </c:pt>
                <c:pt idx="10">
                  <c:v>0.023972602739726</c:v>
                </c:pt>
                <c:pt idx="11">
                  <c:v>0.023972602739726</c:v>
                </c:pt>
                <c:pt idx="12">
                  <c:v>0.0171232876712329</c:v>
                </c:pt>
                <c:pt idx="13">
                  <c:v>0.0171232876712329</c:v>
                </c:pt>
                <c:pt idx="14">
                  <c:v>0.0171232876712329</c:v>
                </c:pt>
                <c:pt idx="15">
                  <c:v>0.0171232876712329</c:v>
                </c:pt>
                <c:pt idx="16">
                  <c:v>0.0171232876712329</c:v>
                </c:pt>
                <c:pt idx="17">
                  <c:v>0.0171232876712329</c:v>
                </c:pt>
                <c:pt idx="18">
                  <c:v>0.0136986301369863</c:v>
                </c:pt>
                <c:pt idx="19">
                  <c:v>0.0136986301369863</c:v>
                </c:pt>
                <c:pt idx="20">
                  <c:v>0.0136986301369863</c:v>
                </c:pt>
                <c:pt idx="21">
                  <c:v>0.0136986301369863</c:v>
                </c:pt>
                <c:pt idx="22">
                  <c:v>0.0102739726027397</c:v>
                </c:pt>
                <c:pt idx="23">
                  <c:v>0.0102739726027397</c:v>
                </c:pt>
                <c:pt idx="24">
                  <c:v>0.00684931506849315</c:v>
                </c:pt>
                <c:pt idx="25">
                  <c:v>0.00684931506849315</c:v>
                </c:pt>
                <c:pt idx="26">
                  <c:v>0.00684931506849315</c:v>
                </c:pt>
                <c:pt idx="27">
                  <c:v>0.00342465753424658</c:v>
                </c:pt>
                <c:pt idx="28">
                  <c:v>0.00342465753424658</c:v>
                </c:pt>
                <c:pt idx="29">
                  <c:v>0.00342465753424658</c:v>
                </c:pt>
                <c:pt idx="30">
                  <c:v>0.00342465753424658</c:v>
                </c:pt>
                <c:pt idx="31">
                  <c:v>0.00342465753424658</c:v>
                </c:pt>
                <c:pt idx="32">
                  <c:v>0.00342465753424658</c:v>
                </c:pt>
                <c:pt idx="33">
                  <c:v>0.00342465753424658</c:v>
                </c:pt>
              </c:numCache>
            </c:numRef>
          </c:val>
          <c:smooth val="0"/>
        </c:ser>
        <c:dLbls>
          <c:showLegendKey val="0"/>
          <c:showVal val="0"/>
          <c:showCatName val="0"/>
          <c:showSerName val="0"/>
          <c:showPercent val="0"/>
          <c:showBubbleSize val="0"/>
        </c:dLbls>
        <c:marker val="0"/>
        <c:smooth val="0"/>
        <c:axId val="394917632"/>
        <c:axId val="394918048"/>
      </c:lineChart>
      <c:catAx>
        <c:axId val="39489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4910560"/>
        <c:crosses val="autoZero"/>
        <c:auto val="1"/>
        <c:lblAlgn val="ctr"/>
        <c:lblOffset val="100"/>
        <c:noMultiLvlLbl val="0"/>
      </c:catAx>
      <c:valAx>
        <c:axId val="394910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4893920"/>
        <c:crosses val="autoZero"/>
        <c:crossBetween val="between"/>
      </c:valAx>
      <c:catAx>
        <c:axId val="394917632"/>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4918048"/>
        <c:crosses val="autoZero"/>
        <c:auto val="1"/>
        <c:lblAlgn val="ctr"/>
        <c:lblOffset val="100"/>
        <c:noMultiLvlLbl val="0"/>
      </c:catAx>
      <c:valAx>
        <c:axId val="394918048"/>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4917632"/>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80315aa-7791-4ffb-ba58-c21bdcd96f19}"/>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t>学生了解专升本的渠道</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rgbClr val="5B9BD5">
                  <a:lumMod val="20000"/>
                  <a:lumOff val="80000"/>
                </a:srgbClr>
              </a:solidFill>
              <a:ln>
                <a:solidFill>
                  <a:schemeClr val="bg1"/>
                </a:solidFill>
              </a:ln>
              <a:effectLst/>
            </c:spPr>
          </c:dPt>
          <c:dPt>
            <c:idx val="2"/>
            <c:bubble3D val="0"/>
            <c:spPr>
              <a:solidFill>
                <a:srgbClr val="5B9BD5">
                  <a:lumMod val="40000"/>
                  <a:lumOff val="60000"/>
                </a:srgbClr>
              </a:solidFill>
              <a:ln>
                <a:solidFill>
                  <a:schemeClr val="bg1"/>
                </a:solidFill>
              </a:ln>
              <a:effectLst/>
            </c:spPr>
          </c:dPt>
          <c:dPt>
            <c:idx val="3"/>
            <c:bubble3D val="0"/>
            <c:spPr>
              <a:solidFill>
                <a:srgbClr val="5B9BD5">
                  <a:lumMod val="60000"/>
                  <a:lumOff val="40000"/>
                </a:srgbClr>
              </a:solidFill>
              <a:ln>
                <a:solidFill>
                  <a:schemeClr val="bg1"/>
                </a:solidFill>
              </a:ln>
              <a:effectLst/>
            </c:spPr>
          </c:dPt>
          <c:dPt>
            <c:idx val="4"/>
            <c:bubble3D val="0"/>
            <c:spPr>
              <a:solidFill>
                <a:srgbClr val="5B9BD5">
                  <a:lumMod val="50000"/>
                </a:srgbClr>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'[2025届毕业生（专升本问卷调查）总作图.xlsx]Sheet1'!$B$3:$B$7</c:f>
              <c:strCache>
                <c:ptCount val="5"/>
                <c:pt idx="0">
                  <c:v>A、学长学姐和同学介绍</c:v>
                </c:pt>
                <c:pt idx="1">
                  <c:v>B、宣传单及海报</c:v>
                </c:pt>
                <c:pt idx="2">
                  <c:v>C、学校介绍</c:v>
                </c:pt>
                <c:pt idx="3">
                  <c:v>D、网络</c:v>
                </c:pt>
                <c:pt idx="4">
                  <c:v>E、其他</c:v>
                </c:pt>
              </c:strCache>
            </c:strRef>
          </c:cat>
          <c:val>
            <c:numRef>
              <c:f>'[2025届毕业生（专升本问卷调查）总作图.xlsx]Sheet1'!$D$3:$D$7</c:f>
              <c:numCache>
                <c:formatCode>0.00%</c:formatCode>
                <c:ptCount val="5"/>
                <c:pt idx="0">
                  <c:v>0.278350515463918</c:v>
                </c:pt>
                <c:pt idx="1">
                  <c:v>0.0274914089347079</c:v>
                </c:pt>
                <c:pt idx="2">
                  <c:v>0.195876288659794</c:v>
                </c:pt>
                <c:pt idx="3">
                  <c:v>0.278350515463918</c:v>
                </c:pt>
                <c:pt idx="4">
                  <c:v>0.219931271477663</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27a0b23c-9bed-4fbd-9485-fb26e7894638}"/>
      </c:ext>
    </c:extLst>
  </c:chart>
  <c:spPr>
    <a:solidFill>
      <a:schemeClr val="bg1"/>
    </a:solidFill>
    <a:ln w="6350" cap="flat" cmpd="sng" algn="ctr">
      <a:noFill/>
      <a:round/>
    </a:ln>
    <a:effectLst/>
  </c:spPr>
  <c:txPr>
    <a:bodyPr/>
    <a:lstStyle/>
    <a:p>
      <a:pPr>
        <a:defRPr lang="zh-CN">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t>参加专升本考试最大困难</a:t>
            </a:r>
          </a:p>
        </c:rich>
      </c:tx>
      <c:layout/>
      <c:overlay val="0"/>
      <c:spPr>
        <a:noFill/>
        <a:ln>
          <a:noFill/>
        </a:ln>
        <a:effectLst/>
      </c:spPr>
    </c:title>
    <c:autoTitleDeleted val="0"/>
    <c:plotArea>
      <c:layout/>
      <c:pieChart>
        <c:varyColors val="1"/>
        <c:ser>
          <c:idx val="0"/>
          <c:order val="0"/>
          <c:spPr>
            <a:solidFill>
              <a:srgbClr val="5B9BD5">
                <a:lumMod val="75000"/>
              </a:srgbClr>
            </a:solidFill>
          </c:spPr>
          <c:explosion val="0"/>
          <c:dPt>
            <c:idx val="0"/>
            <c:bubble3D val="0"/>
            <c:spPr>
              <a:solidFill>
                <a:srgbClr val="5B9BD5">
                  <a:lumMod val="75000"/>
                </a:srgbClr>
              </a:solidFill>
              <a:ln>
                <a:solidFill>
                  <a:schemeClr val="bg1"/>
                </a:solidFill>
              </a:ln>
              <a:effectLst/>
            </c:spPr>
          </c:dPt>
          <c:dPt>
            <c:idx val="1"/>
            <c:bubble3D val="0"/>
            <c:spPr>
              <a:solidFill>
                <a:srgbClr val="5B9BD5">
                  <a:lumMod val="75000"/>
                </a:srgbClr>
              </a:solidFill>
              <a:ln>
                <a:solidFill>
                  <a:schemeClr val="bg1"/>
                </a:solidFill>
              </a:ln>
              <a:effectLst/>
            </c:spPr>
          </c:dPt>
          <c:dPt>
            <c:idx val="2"/>
            <c:bubble3D val="0"/>
            <c:spPr>
              <a:solidFill>
                <a:srgbClr val="5B9BD5">
                  <a:lumMod val="50000"/>
                </a:srgbClr>
              </a:solidFill>
              <a:ln>
                <a:solidFill>
                  <a:schemeClr val="bg1"/>
                </a:solidFill>
              </a:ln>
              <a:effectLst/>
            </c:spPr>
          </c:dPt>
          <c:dPt>
            <c:idx val="3"/>
            <c:bubble3D val="0"/>
            <c:spPr>
              <a:solidFill>
                <a:srgbClr val="5B9BD5">
                  <a:lumMod val="60000"/>
                  <a:lumOff val="40000"/>
                </a:srgbClr>
              </a:solidFill>
              <a:ln>
                <a:solidFill>
                  <a:schemeClr val="bg1"/>
                </a:solidFill>
              </a:ln>
              <a:effectLst/>
            </c:spPr>
          </c:dPt>
          <c:dPt>
            <c:idx val="4"/>
            <c:bubble3D val="0"/>
            <c:spPr>
              <a:solidFill>
                <a:srgbClr val="5B9BD5">
                  <a:lumMod val="40000"/>
                  <a:lumOff val="60000"/>
                </a:srgbClr>
              </a:solidFill>
              <a:ln>
                <a:solidFill>
                  <a:schemeClr val="bg1"/>
                </a:solidFill>
              </a:ln>
              <a:effectLst/>
            </c:spPr>
          </c:dPt>
          <c:dLbls>
            <c:dLbl>
              <c:idx val="0"/>
              <c:layout>
                <c:manualLayout>
                  <c:x val="0.198972382787412"/>
                  <c:y val="0.0571206225680934"/>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3"/>
              <c:layout>
                <c:manualLayout>
                  <c:x val="-0.0728323699421965"/>
                  <c:y val="-0.00498054474708171"/>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4"/>
              <c:layout>
                <c:manualLayout>
                  <c:x val="-0.0363519588953115"/>
                  <c:y val="0"/>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'[2025届毕业生（专升本问卷调查）总作图.xlsx]Sheet1'!$B$8:$B$12</c:f>
              <c:strCache>
                <c:ptCount val="5"/>
                <c:pt idx="0">
                  <c:v>A、缺乏考试资料</c:v>
                </c:pt>
                <c:pt idx="1">
                  <c:v>B、缺乏信心，觉得不能考试</c:v>
                </c:pt>
                <c:pt idx="2">
                  <c:v>C、课程太多，缺乏时间</c:v>
                </c:pt>
                <c:pt idx="3">
                  <c:v>D、毅力不够</c:v>
                </c:pt>
                <c:pt idx="4">
                  <c:v>E、其他</c:v>
                </c:pt>
              </c:strCache>
            </c:strRef>
          </c:cat>
          <c:val>
            <c:numRef>
              <c:f>'[2025届毕业生（专升本问卷调查）总作图.xlsx]Sheet1'!$D$8:$D$12</c:f>
              <c:numCache>
                <c:formatCode>0.00%</c:formatCode>
                <c:ptCount val="5"/>
                <c:pt idx="0">
                  <c:v>0.00343642611683849</c:v>
                </c:pt>
                <c:pt idx="1">
                  <c:v>0.680412371134021</c:v>
                </c:pt>
                <c:pt idx="2">
                  <c:v>0.199312714776632</c:v>
                </c:pt>
                <c:pt idx="3">
                  <c:v>0.103092783505155</c:v>
                </c:pt>
                <c:pt idx="4">
                  <c:v>0.013745704467354</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e8735df5-fa1c-40ed-bc1b-38b64d82ebda}"/>
      </c:ext>
    </c:extLst>
  </c:chart>
  <c:spPr>
    <a:solidFill>
      <a:schemeClr val="bg1"/>
    </a:solidFill>
    <a:ln w="6350" cap="flat" cmpd="sng" algn="ctr">
      <a:noFill/>
      <a:round/>
    </a:ln>
    <a:effectLst/>
  </c:spPr>
  <c:txPr>
    <a:bodyPr/>
    <a:lstStyle/>
    <a:p>
      <a:pPr>
        <a:defRPr lang="zh-CN">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t>选择升学的最主要原因</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rgbClr val="5B9BD5">
                  <a:lumMod val="75000"/>
                </a:srgbClr>
              </a:solidFill>
              <a:ln>
                <a:solidFill>
                  <a:schemeClr val="bg1"/>
                </a:solidFill>
              </a:ln>
              <a:effectLst/>
            </c:spPr>
          </c:dPt>
          <c:dPt>
            <c:idx val="2"/>
            <c:bubble3D val="0"/>
            <c:spPr>
              <a:solidFill>
                <a:srgbClr val="5B9BD5">
                  <a:lumMod val="50000"/>
                </a:srgbClr>
              </a:solidFill>
              <a:ln>
                <a:solidFill>
                  <a:schemeClr val="bg1"/>
                </a:solidFill>
              </a:ln>
              <a:effectLst/>
            </c:spPr>
          </c:dPt>
          <c:dPt>
            <c:idx val="3"/>
            <c:bubble3D val="0"/>
            <c:spPr>
              <a:solidFill>
                <a:srgbClr val="5B9BD5">
                  <a:lumMod val="60000"/>
                  <a:lumOff val="40000"/>
                </a:srgbClr>
              </a:solidFill>
              <a:ln>
                <a:solidFill>
                  <a:schemeClr val="bg1"/>
                </a:solidFill>
              </a:ln>
              <a:effectLst/>
            </c:spPr>
          </c:dPt>
          <c:dPt>
            <c:idx val="4"/>
            <c:bubble3D val="0"/>
            <c:spPr>
              <a:solidFill>
                <a:srgbClr val="5B9BD5">
                  <a:lumMod val="40000"/>
                  <a:lumOff val="60000"/>
                </a:srgbClr>
              </a:solidFill>
              <a:ln>
                <a:solidFill>
                  <a:schemeClr val="bg1"/>
                </a:solidFill>
              </a:ln>
              <a:effectLst/>
            </c:spPr>
          </c:dPt>
          <c:dPt>
            <c:idx val="5"/>
            <c:bubble3D val="0"/>
            <c:spPr>
              <a:solidFill>
                <a:srgbClr val="5B9BD5">
                  <a:lumMod val="20000"/>
                  <a:lumOff val="80000"/>
                </a:srgbClr>
              </a:solidFill>
              <a:ln>
                <a:solidFill>
                  <a:schemeClr val="bg1"/>
                </a:solidFill>
              </a:ln>
              <a:effectLst/>
            </c:spPr>
          </c:dPt>
          <c:dLbls>
            <c:dLbl>
              <c:idx val="0"/>
              <c:layout>
                <c:manualLayout>
                  <c:x val="0.0302626800629464"/>
                  <c:y val="0.0281476487443115"/>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2"/>
              <c:layout>
                <c:manualLayout>
                  <c:x val="-0.0452137966670973"/>
                  <c:y val="0"/>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5"/>
              <c:layout>
                <c:manualLayout>
                  <c:x val="0"/>
                  <c:y val="0.00556211023091185"/>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'[2025届毕业生（专升本问卷调查）总作图.xlsx]Sheet1'!$B$13:$B$18</c:f>
              <c:strCache>
                <c:ptCount val="6"/>
                <c:pt idx="0">
                  <c:v>A、对专业感兴趣、深入学习</c:v>
                </c:pt>
                <c:pt idx="1">
                  <c:v>B、提升综合能力</c:v>
                </c:pt>
                <c:pt idx="2">
                  <c:v>C、增加择业资本、站在更高的求职点</c:v>
                </c:pt>
                <c:pt idx="3">
                  <c:v>D、延缓面对就业的困难</c:v>
                </c:pt>
                <c:pt idx="4">
                  <c:v>E、父母期望</c:v>
                </c:pt>
                <c:pt idx="5">
                  <c:v>F、其他</c:v>
                </c:pt>
              </c:strCache>
            </c:strRef>
          </c:cat>
          <c:val>
            <c:numRef>
              <c:f>'[2025届毕业生（专升本问卷调查）总作图.xlsx]Sheet1'!$D$13:$D$18</c:f>
              <c:numCache>
                <c:formatCode>0.00%</c:formatCode>
                <c:ptCount val="6"/>
                <c:pt idx="0">
                  <c:v>0.134020618556701</c:v>
                </c:pt>
                <c:pt idx="1">
                  <c:v>0.268041237113402</c:v>
                </c:pt>
                <c:pt idx="2">
                  <c:v>0.415807560137457</c:v>
                </c:pt>
                <c:pt idx="3">
                  <c:v>0.0584192439862543</c:v>
                </c:pt>
                <c:pt idx="4">
                  <c:v>0.120274914089347</c:v>
                </c:pt>
                <c:pt idx="5">
                  <c:v>0.00343642611683849</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162c20d2-b75e-4dcc-9666-8e4a5d481603}"/>
      </c:ext>
    </c:extLst>
  </c:chart>
  <c:spPr>
    <a:solidFill>
      <a:schemeClr val="bg1"/>
    </a:solidFill>
    <a:ln w="6350" cap="flat" cmpd="sng" algn="ctr">
      <a:noFill/>
      <a:round/>
    </a:ln>
    <a:effectLst/>
  </c:spPr>
  <c:txPr>
    <a:bodyPr/>
    <a:lstStyle/>
    <a:p>
      <a:pPr>
        <a:defRPr lang="zh-CN">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t>就读专业与升学前所读专业的一致性</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rgbClr val="5B9BD5">
                  <a:lumMod val="50000"/>
                </a:srgbClr>
              </a:solidFill>
              <a:ln>
                <a:solidFill>
                  <a:schemeClr val="bg1"/>
                </a:solidFill>
              </a:ln>
              <a:effectLst/>
            </c:spPr>
          </c:dPt>
          <c:dPt>
            <c:idx val="2"/>
            <c:bubble3D val="0"/>
            <c:spPr>
              <a:solidFill>
                <a:srgbClr val="5B9BD5">
                  <a:lumMod val="75000"/>
                </a:srgbClr>
              </a:solidFill>
              <a:ln>
                <a:solidFill>
                  <a:schemeClr val="bg1"/>
                </a:solidFill>
              </a:ln>
              <a:effectLst/>
            </c:spPr>
          </c:dPt>
          <c:dPt>
            <c:idx val="3"/>
            <c:bubble3D val="0"/>
            <c:spPr>
              <a:solidFill>
                <a:srgbClr val="5B9BD5">
                  <a:lumMod val="60000"/>
                  <a:lumOff val="40000"/>
                </a:srgbClr>
              </a:solidFill>
              <a:ln>
                <a:solidFill>
                  <a:schemeClr val="bg1"/>
                </a:solidFill>
              </a:ln>
              <a:effectLst/>
            </c:spPr>
          </c:dPt>
          <c:dLbls>
            <c:dLbl>
              <c:idx val="3"/>
              <c:layout>
                <c:manualLayout>
                  <c:x val="0.189177968447274"/>
                  <c:y val="0.028436018957346"/>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'[2025届毕业生（专升本问卷调查）总作图.xlsx]Sheet1'!$B$19:$B$22</c:f>
              <c:strCache>
                <c:ptCount val="4"/>
                <c:pt idx="0">
                  <c:v>A、一致</c:v>
                </c:pt>
                <c:pt idx="1">
                  <c:v>B、相近/相关</c:v>
                </c:pt>
                <c:pt idx="2">
                  <c:v>C、相关度低</c:v>
                </c:pt>
                <c:pt idx="3">
                  <c:v>D、无关</c:v>
                </c:pt>
              </c:strCache>
            </c:strRef>
          </c:cat>
          <c:val>
            <c:numRef>
              <c:f>'[2025届毕业生（专升本问卷调查）总作图.xlsx]Sheet1'!$D$19:$D$22</c:f>
              <c:numCache>
                <c:formatCode>0.00%</c:formatCode>
                <c:ptCount val="4"/>
                <c:pt idx="0">
                  <c:v>0.680412371134021</c:v>
                </c:pt>
                <c:pt idx="1">
                  <c:v>0.202749140893471</c:v>
                </c:pt>
                <c:pt idx="2">
                  <c:v>0.0756013745704467</c:v>
                </c:pt>
                <c:pt idx="3">
                  <c:v>0.0412371134020619</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9390c008-3215-49a1-ab01-9e8215ca7d5e}"/>
      </c:ext>
    </c:extLst>
  </c:chart>
  <c:spPr>
    <a:solidFill>
      <a:schemeClr val="bg1"/>
    </a:solidFill>
    <a:ln w="6350" cap="flat" cmpd="sng" algn="ctr">
      <a:noFill/>
      <a:round/>
    </a:ln>
    <a:effectLst/>
  </c:spPr>
  <c:txPr>
    <a:bodyPr/>
    <a:lstStyle/>
    <a:p>
      <a:pPr>
        <a:defRPr lang="zh-CN">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t>专升本之前有好的工作机会</a:t>
            </a:r>
          </a:p>
        </c:rich>
      </c:tx>
      <c:layout/>
      <c:overlay val="0"/>
      <c:spPr>
        <a:noFill/>
        <a:ln>
          <a:noFill/>
        </a:ln>
        <a:effectLst/>
      </c:spPr>
    </c:title>
    <c:autoTitleDeleted val="0"/>
    <c:plotArea>
      <c:layout/>
      <c:pieChart>
        <c:varyColors val="1"/>
        <c:ser>
          <c:idx val="0"/>
          <c:order val="0"/>
          <c:spPr/>
          <c:explosion val="0"/>
          <c:dPt>
            <c:idx val="0"/>
            <c:bubble3D val="0"/>
            <c:spPr>
              <a:solidFill>
                <a:srgbClr val="5B9BD5">
                  <a:lumMod val="60000"/>
                  <a:lumOff val="40000"/>
                </a:srgbClr>
              </a:solidFill>
              <a:ln>
                <a:solidFill>
                  <a:schemeClr val="bg1"/>
                </a:solidFill>
              </a:ln>
              <a:effectLst/>
            </c:spPr>
          </c:dPt>
          <c:dPt>
            <c:idx val="1"/>
            <c:bubble3D val="0"/>
            <c:spPr>
              <a:solidFill>
                <a:srgbClr val="5B9BD5">
                  <a:lumMod val="50000"/>
                </a:srgbClr>
              </a:solidFill>
              <a:ln>
                <a:solidFill>
                  <a:schemeClr val="bg1"/>
                </a:solidFill>
              </a:ln>
              <a:effectLst/>
            </c:spPr>
          </c:dPt>
          <c:dPt>
            <c:idx val="2"/>
            <c:bubble3D val="0"/>
            <c:spPr>
              <a:solidFill>
                <a:srgbClr val="5B9BD5">
                  <a:lumMod val="75000"/>
                </a:srgbClr>
              </a:solidFill>
              <a:ln>
                <a:solidFill>
                  <a:schemeClr val="bg1"/>
                </a:solidFill>
              </a:ln>
              <a:effectLst/>
            </c:spPr>
          </c:dPt>
          <c:dLbls>
            <c:dLbl>
              <c:idx val="2"/>
              <c:layout>
                <c:manualLayout>
                  <c:x val="-0.148034107058266"/>
                  <c:y val="0.0657327586206897"/>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11653116531165"/>
                      <c:h val="0.1487061325771"/>
                    </c:manualLayout>
                  </c15:layout>
                </c:ext>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'[2025届毕业生（专升本问卷调查）总作图.xlsx]Sheet1'!$B$23:$B$25</c:f>
              <c:strCache>
                <c:ptCount val="3"/>
                <c:pt idx="0">
                  <c:v>A、放弃专升本，选择有前景的工作</c:v>
                </c:pt>
                <c:pt idx="1">
                  <c:v>B、继续专升本，放弃工作</c:v>
                </c:pt>
                <c:pt idx="2">
                  <c:v>C、两者同时兼具</c:v>
                </c:pt>
              </c:strCache>
            </c:strRef>
          </c:cat>
          <c:val>
            <c:numRef>
              <c:f>'[2025届毕业生（专升本问卷调查）总作图.xlsx]Sheet1'!$D$23:$D$25</c:f>
              <c:numCache>
                <c:formatCode>0.00%</c:formatCode>
                <c:ptCount val="3"/>
                <c:pt idx="0">
                  <c:v>0.381443298969072</c:v>
                </c:pt>
                <c:pt idx="1">
                  <c:v>0.474226804123711</c:v>
                </c:pt>
                <c:pt idx="2">
                  <c:v>0.144329896907216</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a1fe77c6-8325-4baf-a0cb-de42a1cc121c}"/>
      </c:ext>
    </c:extLst>
  </c:chart>
  <c:spPr>
    <a:solidFill>
      <a:schemeClr val="bg1"/>
    </a:solidFill>
    <a:ln w="6350" cap="flat" cmpd="sng" algn="ctr">
      <a:noFill/>
      <a:round/>
    </a:ln>
    <a:effectLst/>
  </c:spPr>
  <c:txPr>
    <a:bodyPr/>
    <a:lstStyle/>
    <a:p>
      <a:pPr>
        <a:defRPr lang="zh-CN">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
          <c:y val="0.179861111111111"/>
          <c:w val="0.856894736842105"/>
          <c:h val="0.606342592592593"/>
        </c:manualLayout>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'[2025届大专毕业生（生源情况分布）-16.xls]Sheet1'!$R$49:$AM$49</c:f>
              <c:strCache>
                <c:ptCount val="22"/>
                <c:pt idx="0">
                  <c:v>辽宁</c:v>
                </c:pt>
                <c:pt idx="1">
                  <c:v>天津</c:v>
                </c:pt>
                <c:pt idx="2">
                  <c:v>河北</c:v>
                </c:pt>
                <c:pt idx="3">
                  <c:v>山西</c:v>
                </c:pt>
                <c:pt idx="4">
                  <c:v>内蒙古</c:v>
                </c:pt>
                <c:pt idx="5">
                  <c:v>吉林</c:v>
                </c:pt>
                <c:pt idx="6">
                  <c:v>黑龙江</c:v>
                </c:pt>
                <c:pt idx="7">
                  <c:v>安徽</c:v>
                </c:pt>
                <c:pt idx="8">
                  <c:v>福建</c:v>
                </c:pt>
                <c:pt idx="9">
                  <c:v>江西</c:v>
                </c:pt>
                <c:pt idx="10">
                  <c:v>山东</c:v>
                </c:pt>
                <c:pt idx="11">
                  <c:v>河南</c:v>
                </c:pt>
                <c:pt idx="12">
                  <c:v>湖南</c:v>
                </c:pt>
                <c:pt idx="13">
                  <c:v>广西</c:v>
                </c:pt>
                <c:pt idx="14">
                  <c:v>重庆</c:v>
                </c:pt>
                <c:pt idx="15">
                  <c:v>四川</c:v>
                </c:pt>
                <c:pt idx="16">
                  <c:v>贵州</c:v>
                </c:pt>
                <c:pt idx="17">
                  <c:v>云南</c:v>
                </c:pt>
                <c:pt idx="18">
                  <c:v>陕西</c:v>
                </c:pt>
                <c:pt idx="19">
                  <c:v>甘肃</c:v>
                </c:pt>
                <c:pt idx="20">
                  <c:v>青海</c:v>
                </c:pt>
                <c:pt idx="21">
                  <c:v>新疆</c:v>
                </c:pt>
              </c:strCache>
            </c:strRef>
          </c:cat>
          <c:val>
            <c:numRef>
              <c:f>'[2025届大专毕业生（生源情况分布）-16.xls]Sheet1'!$R$50:$AM$50</c:f>
              <c:numCache>
                <c:formatCode>General</c:formatCode>
                <c:ptCount val="22"/>
                <c:pt idx="0">
                  <c:v>1735</c:v>
                </c:pt>
                <c:pt idx="1">
                  <c:v>1</c:v>
                </c:pt>
                <c:pt idx="2">
                  <c:v>2</c:v>
                </c:pt>
                <c:pt idx="3">
                  <c:v>9</c:v>
                </c:pt>
                <c:pt idx="4">
                  <c:v>20</c:v>
                </c:pt>
                <c:pt idx="5">
                  <c:v>31</c:v>
                </c:pt>
                <c:pt idx="6">
                  <c:v>40</c:v>
                </c:pt>
                <c:pt idx="7">
                  <c:v>31</c:v>
                </c:pt>
                <c:pt idx="8">
                  <c:v>1</c:v>
                </c:pt>
                <c:pt idx="9">
                  <c:v>20</c:v>
                </c:pt>
                <c:pt idx="10">
                  <c:v>10</c:v>
                </c:pt>
                <c:pt idx="11">
                  <c:v>270</c:v>
                </c:pt>
                <c:pt idx="12">
                  <c:v>7</c:v>
                </c:pt>
                <c:pt idx="13">
                  <c:v>57</c:v>
                </c:pt>
                <c:pt idx="14">
                  <c:v>1</c:v>
                </c:pt>
                <c:pt idx="15">
                  <c:v>26</c:v>
                </c:pt>
                <c:pt idx="16">
                  <c:v>26</c:v>
                </c:pt>
                <c:pt idx="17">
                  <c:v>26</c:v>
                </c:pt>
                <c:pt idx="18">
                  <c:v>2</c:v>
                </c:pt>
                <c:pt idx="19">
                  <c:v>6</c:v>
                </c:pt>
                <c:pt idx="20">
                  <c:v>58</c:v>
                </c:pt>
                <c:pt idx="21">
                  <c:v>120</c:v>
                </c:pt>
              </c:numCache>
            </c:numRef>
          </c:val>
        </c:ser>
        <c:dLbls>
          <c:showLegendKey val="0"/>
          <c:showVal val="0"/>
          <c:showCatName val="0"/>
          <c:showSerName val="0"/>
          <c:showPercent val="0"/>
          <c:showBubbleSize val="0"/>
        </c:dLbls>
        <c:gapWidth val="140"/>
        <c:overlap val="0"/>
        <c:axId val="448544461"/>
        <c:axId val="715247082"/>
      </c:barChart>
      <c:catAx>
        <c:axId val="44854446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5247082"/>
        <c:crosses val="autoZero"/>
        <c:auto val="1"/>
        <c:lblAlgn val="ctr"/>
        <c:lblOffset val="100"/>
        <c:noMultiLvlLbl val="0"/>
      </c:catAx>
      <c:valAx>
        <c:axId val="715247082"/>
        <c:scaling>
          <c:orientation val="minMax"/>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8544461"/>
        <c:crosses val="autoZero"/>
        <c:crossBetween val="between"/>
      </c:valAx>
      <c:spPr>
        <a:noFill/>
        <a:ln>
          <a:noFill/>
        </a:ln>
        <a:effectLst/>
      </c:spPr>
    </c:plotArea>
    <c:plotVisOnly val="1"/>
    <c:dispBlanksAs val="gap"/>
    <c:showDLblsOverMax val="0"/>
    <c:extLst>
      <c:ext uri="{0b15fc19-7d7d-44ad-8c2d-2c3a37ce22c3}">
        <chartProps xmlns="https://web.wps.cn/et/2018/main" chartId="{cd3a0616-fa80-44b4-9e25-603f458296bc}"/>
      </c:ext>
    </c:extLst>
  </c:chart>
  <c:spPr>
    <a:solidFill>
      <a:schemeClr val="bg1"/>
    </a:solidFill>
    <a:ln w="9525" cap="flat" cmpd="sng" algn="ctr">
      <a:noFill/>
      <a:prstDash val="solid"/>
      <a:round/>
    </a:ln>
    <a:effectLst/>
  </c:spPr>
  <c:txPr>
    <a:bodyPr wrap="square"/>
    <a:lstStyle/>
    <a:p>
      <a:pPr>
        <a:defRPr lang="zh-CN"/>
      </a:pPr>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rgbClr val="5B9BD5">
                  <a:lumMod val="60000"/>
                  <a:lumOff val="40000"/>
                </a:srgbClr>
              </a:solidFill>
              <a:ln>
                <a:solidFill>
                  <a:schemeClr val="bg1"/>
                </a:solidFill>
              </a:ln>
              <a:effectLst/>
            </c:spPr>
          </c:dPt>
          <c:dPt>
            <c:idx val="4"/>
            <c:bubble3D val="0"/>
            <c:spPr>
              <a:solidFill>
                <a:srgbClr val="5B9BD5">
                  <a:lumMod val="75000"/>
                </a:srgbClr>
              </a:solidFill>
              <a:ln>
                <a:solidFill>
                  <a:schemeClr val="bg1"/>
                </a:solidFill>
              </a:ln>
              <a:effectLst/>
            </c:spPr>
          </c:dPt>
          <c:dPt>
            <c:idx val="5"/>
            <c:bubble3D val="0"/>
            <c:spPr>
              <a:solidFill>
                <a:srgbClr val="5B9BD5">
                  <a:lumMod val="50000"/>
                </a:srgbClr>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Lbls>
            <c:dLbl>
              <c:idx val="0"/>
              <c:layout>
                <c:manualLayout>
                  <c:x val="-0.169708255741775"/>
                  <c:y val="0"/>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31222842954687"/>
                      <c:h val="0.0995531724754245"/>
                    </c:manualLayout>
                  </c15:layout>
                </c:ext>
              </c:extLst>
            </c:dLbl>
            <c:dLbl>
              <c:idx val="1"/>
              <c:layout>
                <c:manualLayout>
                  <c:x val="0.0537554314090629"/>
                  <c:y val="0"/>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29174425822471"/>
                      <c:h val="0.142448614834674"/>
                    </c:manualLayout>
                  </c15:layout>
                </c:ext>
              </c:extLst>
            </c:dLbl>
            <c:dLbl>
              <c:idx val="2"/>
              <c:layout>
                <c:manualLayout>
                  <c:x val="0.247944020072662"/>
                  <c:y val="0.0325290437890974"/>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32029795158287"/>
                      <c:h val="0.142448614834674"/>
                    </c:manualLayout>
                  </c15:layout>
                </c:ext>
              </c:extLst>
            </c:dLbl>
            <c:dLbl>
              <c:idx val="3"/>
              <c:layout>
                <c:manualLayout>
                  <c:x val="0.281877036960407"/>
                  <c:y val="0.229031252713882"/>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38361266294227"/>
                      <c:h val="0.142448614834674"/>
                    </c:manualLayout>
                  </c15:layout>
                </c:ext>
              </c:extLst>
            </c:dLbl>
            <c:dLbl>
              <c:idx val="4"/>
              <c:layout>
                <c:manualLayout>
                  <c:x val="-0.0021104903786468"/>
                  <c:y val="0.273994638069705"/>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6"/>
              <c:layout>
                <c:manualLayout>
                  <c:x val="-0.335195530726257"/>
                  <c:y val="0.0357462019660411"/>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'[2025届毕业生（薪酬水平）-10.xls]Sheet1'!$T$4:$AA$4</c:f>
              <c:strCache>
                <c:ptCount val="8"/>
                <c:pt idx="0">
                  <c:v>S&gt;=8000</c:v>
                </c:pt>
                <c:pt idx="1">
                  <c:v>8000&gt;S&gt;=6000</c:v>
                </c:pt>
                <c:pt idx="2">
                  <c:v>6000&gt;S&gt;=5000</c:v>
                </c:pt>
                <c:pt idx="3">
                  <c:v>5000&gt;S&gt;=4000</c:v>
                </c:pt>
                <c:pt idx="4">
                  <c:v>4000&gt;S&gt;=3000</c:v>
                </c:pt>
                <c:pt idx="5">
                  <c:v>3000&gt;S&gt;=2000</c:v>
                </c:pt>
                <c:pt idx="6">
                  <c:v>2000以下</c:v>
                </c:pt>
              </c:strCache>
            </c:strRef>
          </c:cat>
          <c:val>
            <c:numRef>
              <c:f>'[2025届毕业生（薪酬水平）-10.xls]Sheet1'!$T$5:$AA$5</c:f>
              <c:numCache>
                <c:formatCode>0.00%</c:formatCode>
                <c:ptCount val="8"/>
                <c:pt idx="0">
                  <c:v>0.0005720823798627</c:v>
                </c:pt>
                <c:pt idx="1">
                  <c:v>0.0028604118993135</c:v>
                </c:pt>
                <c:pt idx="2">
                  <c:v>0.0040045766590389</c:v>
                </c:pt>
                <c:pt idx="3">
                  <c:v>0.0577803203661327</c:v>
                </c:pt>
                <c:pt idx="4">
                  <c:v>0.364988558352403</c:v>
                </c:pt>
                <c:pt idx="5">
                  <c:v>0.550343249427918</c:v>
                </c:pt>
                <c:pt idx="6">
                  <c:v>0.0194508009153318</c:v>
                </c:pt>
              </c:numCache>
            </c:numRef>
          </c:val>
        </c:ser>
        <c:ser>
          <c:idx val="1"/>
          <c:order val="1"/>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'[2025届毕业生（薪酬水平）-10.xls]Sheet1'!$T$4:$AA$4</c:f>
              <c:strCache>
                <c:ptCount val="8"/>
                <c:pt idx="0">
                  <c:v>S&gt;=8000</c:v>
                </c:pt>
                <c:pt idx="1">
                  <c:v>8000&gt;S&gt;=6000</c:v>
                </c:pt>
                <c:pt idx="2">
                  <c:v>6000&gt;S&gt;=5000</c:v>
                </c:pt>
                <c:pt idx="3">
                  <c:v>5000&gt;S&gt;=4000</c:v>
                </c:pt>
                <c:pt idx="4">
                  <c:v>4000&gt;S&gt;=3000</c:v>
                </c:pt>
                <c:pt idx="5">
                  <c:v>3000&gt;S&gt;=2000</c:v>
                </c:pt>
                <c:pt idx="6">
                  <c:v>2000以下</c:v>
                </c:pt>
              </c:strCache>
            </c:strRef>
          </c:cat>
          <c:val>
            <c:numRef>
              <c:f>'[2025届毕业生（薪酬水平）-10.xls]Sheet1'!$T$6:$AA$6</c:f>
              <c:numCache>
                <c:formatCode>General</c:formatCode>
                <c:ptCount val="8"/>
              </c:numCache>
            </c:numRef>
          </c:val>
        </c:ser>
        <c:ser>
          <c:idx val="2"/>
          <c:order val="2"/>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'[2025届毕业生（薪酬水平）-10.xls]Sheet1'!$T$4:$AA$4</c:f>
              <c:strCache>
                <c:ptCount val="8"/>
                <c:pt idx="0">
                  <c:v>S&gt;=8000</c:v>
                </c:pt>
                <c:pt idx="1">
                  <c:v>8000&gt;S&gt;=6000</c:v>
                </c:pt>
                <c:pt idx="2">
                  <c:v>6000&gt;S&gt;=5000</c:v>
                </c:pt>
                <c:pt idx="3">
                  <c:v>5000&gt;S&gt;=4000</c:v>
                </c:pt>
                <c:pt idx="4">
                  <c:v>4000&gt;S&gt;=3000</c:v>
                </c:pt>
                <c:pt idx="5">
                  <c:v>3000&gt;S&gt;=2000</c:v>
                </c:pt>
                <c:pt idx="6">
                  <c:v>2000以下</c:v>
                </c:pt>
              </c:strCache>
            </c:strRef>
          </c:cat>
          <c:val>
            <c:numRef>
              <c:f>'[2025届毕业生（薪酬水平）-10.xls]Sheet1'!$T$7:$AA$7</c:f>
              <c:numCache>
                <c:formatCode>General</c:formatCode>
                <c:ptCount val="8"/>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56e70632-d591-45ef-8101-8c9ba0b938f1}"/>
      </c:ext>
    </c:extLst>
  </c:chart>
  <c:spPr>
    <a:solidFill>
      <a:schemeClr val="bg1"/>
    </a:solidFill>
    <a:ln w="6350" cap="flat" cmpd="sng" algn="ctr">
      <a:noFill/>
      <a:round/>
    </a:ln>
    <a:effectLst/>
  </c:spPr>
  <c:txPr>
    <a:bodyPr/>
    <a:lstStyle/>
    <a:p>
      <a:pPr>
        <a:defRPr lang="zh-CN">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304342185986988"/>
          <c:y val="0.0166032047955654"/>
          <c:w val="0.593241927076189"/>
          <c:h val="0.975704487512127"/>
        </c:manualLayout>
      </c:layout>
      <c:doughnutChart>
        <c:varyColors val="1"/>
        <c:ser>
          <c:idx val="0"/>
          <c:order val="0"/>
          <c:explosion val="27"/>
          <c:dPt>
            <c:idx val="0"/>
            <c:bubble3D val="0"/>
            <c:explosion val="27"/>
            <c:spPr>
              <a:solidFill>
                <a:schemeClr val="accent1">
                  <a:lumMod val="60000"/>
                  <a:lumOff val="40000"/>
                </a:schemeClr>
              </a:solidFill>
            </c:spPr>
          </c:dPt>
          <c:dPt>
            <c:idx val="1"/>
            <c:bubble3D val="0"/>
            <c:explosion val="27"/>
            <c:spPr>
              <a:solidFill>
                <a:schemeClr val="accent1">
                  <a:lumMod val="50000"/>
                </a:schemeClr>
              </a:solidFill>
            </c:spPr>
          </c:dPt>
          <c:dLbls>
            <c:dLbl>
              <c:idx val="0"/>
              <c:layout>
                <c:manualLayout>
                  <c:x val="0.166382252559727"/>
                  <c:y val="0.00385010266940452"/>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45051194539249"/>
                  <c:y val="-0.111652977412731"/>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'[2025届大专毕业生（就业对口率一览表 (详细75.17%））-11.xls]Sheet3'!$I$10:$J$10</c:f>
              <c:strCache>
                <c:ptCount val="2"/>
                <c:pt idx="0">
                  <c:v>对口</c:v>
                </c:pt>
                <c:pt idx="1">
                  <c:v>不对口</c:v>
                </c:pt>
              </c:strCache>
            </c:strRef>
          </c:cat>
          <c:val>
            <c:numRef>
              <c:f>'[2025届大专毕业生（就业对口率一览表 (详细75.17%））-11.xls]Sheet3'!$I$11:$J$11</c:f>
              <c:numCache>
                <c:formatCode>0.00%</c:formatCode>
                <c:ptCount val="2"/>
                <c:pt idx="0">
                  <c:v>0.7517</c:v>
                </c:pt>
                <c:pt idx="1">
                  <c:v>0.2483</c:v>
                </c:pt>
              </c:numCache>
            </c:numRef>
          </c:val>
        </c:ser>
        <c:dLbls>
          <c:showLegendKey val="0"/>
          <c:showVal val="0"/>
          <c:showCatName val="0"/>
          <c:showSerName val="0"/>
          <c:showPercent val="0"/>
          <c:showBubbleSize val="0"/>
          <c:showLeaderLines val="0"/>
        </c:dLbls>
        <c:firstSliceAng val="0"/>
        <c:holeSize val="50"/>
      </c:doughnutChart>
      <c:spPr>
        <a:noFill/>
        <a:ln w="3175">
          <a:noFill/>
        </a:ln>
      </c:spPr>
    </c:plotArea>
    <c:legend>
      <c:legendPos val="r"/>
      <c:layout>
        <c:manualLayout>
          <c:xMode val="edge"/>
          <c:yMode val="edge"/>
          <c:x val="0.719000050366838"/>
          <c:y val="0.40925015142338"/>
          <c:w val="0.1195"/>
          <c:h val="0.1555"/>
        </c:manualLayout>
      </c:layout>
      <c:overlay val="0"/>
      <c:txPr>
        <a:bodyPr rot="0" spcFirstLastPara="0" vertOverflow="ellipsis" vert="horz" wrap="square" anchor="ctr" anchorCtr="1"/>
        <a:lstStyle/>
        <a:p>
          <a:pPr>
            <a:defRPr lang="zh-CN" sz="9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3ad329e2-f139-458d-b839-11bd109e9cea}"/>
      </c:ext>
    </c:extLst>
  </c:chart>
  <c:spPr>
    <a:noFill/>
    <a:ln w="9525" cap="flat" cmpd="sng" algn="ctr">
      <a:noFill/>
      <a:prstDash val="solid"/>
      <a:round/>
    </a:ln>
  </c:spPr>
  <c:txPr>
    <a:bodyPr rot="0" wrap="square" anchor="ctr" anchorCtr="1"/>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'[2025届大专毕业生（就业对口率一览表 (详细75.17%））-11.xls]Sheet3'!$E$2</c:f>
              <c:strCache>
                <c:ptCount val="1"/>
                <c:pt idx="0">
                  <c:v>对口就业率</c:v>
                </c:pt>
              </c:strCache>
            </c:strRef>
          </c:tx>
          <c:spPr>
            <a:solidFill>
              <a:schemeClr val="accent1"/>
            </a:solidFill>
            <a:ln>
              <a:noFill/>
            </a:ln>
            <a:effectLst/>
          </c:spPr>
          <c:invertIfNegative val="0"/>
          <c:dLbls>
            <c:delete val="1"/>
          </c:dLbls>
          <c:cat>
            <c:strRef>
              <c:f>'[2025届大专毕业生（就业对口率一览表 (详细75.17%））-11.xls]Sheet3'!$B$3:$B$31</c:f>
              <c:strCache>
                <c:ptCount val="29"/>
                <c:pt idx="0">
                  <c:v>学前教育</c:v>
                </c:pt>
                <c:pt idx="1">
                  <c:v>机械制造及自动化</c:v>
                </c:pt>
                <c:pt idx="2">
                  <c:v>机电一体化技术</c:v>
                </c:pt>
                <c:pt idx="3">
                  <c:v>工业机器人技术</c:v>
                </c:pt>
                <c:pt idx="4">
                  <c:v>无人机应用技术</c:v>
                </c:pt>
                <c:pt idx="5">
                  <c:v>汽车制造与试验技术</c:v>
                </c:pt>
                <c:pt idx="6">
                  <c:v>新能源汽车技术</c:v>
                </c:pt>
                <c:pt idx="7">
                  <c:v>导游</c:v>
                </c:pt>
                <c:pt idx="8">
                  <c:v>酒店管理与数字化运营</c:v>
                </c:pt>
                <c:pt idx="9">
                  <c:v>广告艺术设计</c:v>
                </c:pt>
                <c:pt idx="10">
                  <c:v>现代文秘</c:v>
                </c:pt>
                <c:pt idx="11">
                  <c:v>小学教育</c:v>
                </c:pt>
                <c:pt idx="12">
                  <c:v>小学语文教育</c:v>
                </c:pt>
                <c:pt idx="13">
                  <c:v>大数据与会计</c:v>
                </c:pt>
                <c:pt idx="14">
                  <c:v>市场营销</c:v>
                </c:pt>
                <c:pt idx="15">
                  <c:v>电子信息工程技术</c:v>
                </c:pt>
                <c:pt idx="16">
                  <c:v>数字媒体技术</c:v>
                </c:pt>
                <c:pt idx="17">
                  <c:v>动漫制作技术</c:v>
                </c:pt>
                <c:pt idx="18">
                  <c:v>现代移动通信技术</c:v>
                </c:pt>
                <c:pt idx="19">
                  <c:v>护理</c:v>
                </c:pt>
                <c:pt idx="20">
                  <c:v>园艺技术</c:v>
                </c:pt>
                <c:pt idx="21">
                  <c:v>园林技术</c:v>
                </c:pt>
                <c:pt idx="22">
                  <c:v>动物医学</c:v>
                </c:pt>
                <c:pt idx="23">
                  <c:v>畜牧兽医</c:v>
                </c:pt>
                <c:pt idx="24">
                  <c:v>宠物医疗技术</c:v>
                </c:pt>
                <c:pt idx="25">
                  <c:v>工程测量技术</c:v>
                </c:pt>
                <c:pt idx="26">
                  <c:v>建筑工程技术</c:v>
                </c:pt>
                <c:pt idx="27">
                  <c:v>工程造价</c:v>
                </c:pt>
                <c:pt idx="28">
                  <c:v>道路与桥梁工程技术</c:v>
                </c:pt>
              </c:strCache>
            </c:strRef>
          </c:cat>
          <c:val>
            <c:numRef>
              <c:f>'[2025届大专毕业生（就业对口率一览表 (详细75.17%））-11.xls]Sheet3'!$E$3:$E$31</c:f>
              <c:numCache>
                <c:formatCode>0.00%</c:formatCode>
                <c:ptCount val="29"/>
                <c:pt idx="0">
                  <c:v>0.842293906810036</c:v>
                </c:pt>
                <c:pt idx="1">
                  <c:v>0.769230769230769</c:v>
                </c:pt>
                <c:pt idx="2">
                  <c:v>0.880952380952381</c:v>
                </c:pt>
                <c:pt idx="3">
                  <c:v>0.833333333333333</c:v>
                </c:pt>
                <c:pt idx="4">
                  <c:v>0.857142857142857</c:v>
                </c:pt>
                <c:pt idx="5">
                  <c:v>0.854545454545454</c:v>
                </c:pt>
                <c:pt idx="6">
                  <c:v>0.85</c:v>
                </c:pt>
                <c:pt idx="7">
                  <c:v>0.6</c:v>
                </c:pt>
                <c:pt idx="8">
                  <c:v>0.5</c:v>
                </c:pt>
                <c:pt idx="9">
                  <c:v>0.714285714285714</c:v>
                </c:pt>
                <c:pt idx="10">
                  <c:v>0.8</c:v>
                </c:pt>
                <c:pt idx="11">
                  <c:v>0.767543859649123</c:v>
                </c:pt>
                <c:pt idx="12">
                  <c:v>0.323529411764706</c:v>
                </c:pt>
                <c:pt idx="13">
                  <c:v>0.666666666666667</c:v>
                </c:pt>
                <c:pt idx="14">
                  <c:v>0.75</c:v>
                </c:pt>
                <c:pt idx="15">
                  <c:v>0.6</c:v>
                </c:pt>
                <c:pt idx="16">
                  <c:v>0.787037037037037</c:v>
                </c:pt>
                <c:pt idx="17">
                  <c:v>0.87012987012987</c:v>
                </c:pt>
                <c:pt idx="18">
                  <c:v>0.910714285714286</c:v>
                </c:pt>
                <c:pt idx="19">
                  <c:v>0.756521739130435</c:v>
                </c:pt>
                <c:pt idx="20">
                  <c:v>0.333333333333333</c:v>
                </c:pt>
                <c:pt idx="21">
                  <c:v>0.272727272727273</c:v>
                </c:pt>
                <c:pt idx="22">
                  <c:v>0.775862068965517</c:v>
                </c:pt>
                <c:pt idx="23">
                  <c:v>0.848484848484849</c:v>
                </c:pt>
                <c:pt idx="24">
                  <c:v>0.909090909090909</c:v>
                </c:pt>
                <c:pt idx="25">
                  <c:v>0.666666666666667</c:v>
                </c:pt>
                <c:pt idx="26">
                  <c:v>0.714285714285714</c:v>
                </c:pt>
                <c:pt idx="27">
                  <c:v>0.636363636363636</c:v>
                </c:pt>
                <c:pt idx="28">
                  <c:v>0.698795180722892</c:v>
                </c:pt>
              </c:numCache>
            </c:numRef>
          </c:val>
        </c:ser>
        <c:dLbls>
          <c:showLegendKey val="0"/>
          <c:showVal val="0"/>
          <c:showCatName val="0"/>
          <c:showSerName val="0"/>
          <c:showPercent val="0"/>
          <c:showBubbleSize val="0"/>
        </c:dLbls>
        <c:gapWidth val="246"/>
        <c:overlap val="-28"/>
        <c:axId val="479646323"/>
        <c:axId val="464247662"/>
      </c:barChart>
      <c:catAx>
        <c:axId val="47964632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4247662"/>
        <c:crosses val="autoZero"/>
        <c:auto val="1"/>
        <c:lblAlgn val="ctr"/>
        <c:lblOffset val="100"/>
        <c:noMultiLvlLbl val="0"/>
      </c:catAx>
      <c:valAx>
        <c:axId val="464247662"/>
        <c:scaling>
          <c:orientation val="minMax"/>
        </c:scaling>
        <c:delete val="0"/>
        <c:axPos val="l"/>
        <c:majorGridlines>
          <c:spPr>
            <a:ln w="9525" cap="flat" cmpd="sng" algn="ctr">
              <a:solidFill>
                <a:schemeClr val="lt1">
                  <a:lumMod val="90200"/>
                </a:schemeClr>
              </a:solidFill>
              <a:prstDash val="solid"/>
              <a:round/>
            </a:ln>
            <a:effectLst/>
          </c:spPr>
        </c:majorGridlines>
        <c:numFmt formatCode="0.00%"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9646323"/>
        <c:crosses val="autoZero"/>
        <c:crossBetween val="between"/>
      </c:valAx>
      <c:spPr>
        <a:noFill/>
        <a:ln>
          <a:noFill/>
        </a:ln>
        <a:effectLst/>
      </c:spPr>
    </c:plotArea>
    <c:plotVisOnly val="1"/>
    <c:dispBlanksAs val="gap"/>
    <c:showDLblsOverMax val="0"/>
    <c:extLst>
      <c:ext uri="{0b15fc19-7d7d-44ad-8c2d-2c3a37ce22c3}">
        <chartProps xmlns="https://web.wps.cn/et/2018/main" chartId="{d1c23aba-e81a-463a-8c20-99ca3c27d795}"/>
      </c:ext>
    </c:extLst>
  </c:chart>
  <c:spPr>
    <a:solidFill>
      <a:schemeClr val="bg1"/>
    </a:solidFill>
    <a:ln w="9525" cap="flat" cmpd="sng" algn="ctr">
      <a:noFill/>
      <a:prstDash val="solid"/>
      <a:round/>
    </a:ln>
    <a:effectLst/>
  </c:spPr>
  <c:txPr>
    <a:bodyPr wrap="square"/>
    <a:lstStyle/>
    <a:p>
      <a:pPr>
        <a:defRPr lang="zh-CN"/>
      </a:pPr>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30"/>
    </mc:Choice>
    <mc:Fallback>
      <c:style val="30"/>
    </mc:Fallback>
  </mc:AlternateContent>
  <c:chart>
    <c:autoTitleDeleted val="1"/>
    <c:plotArea>
      <c:layout/>
      <c:areaChart>
        <c:grouping val="standard"/>
        <c:varyColors val="0"/>
        <c:ser>
          <c:idx val="0"/>
          <c:order val="0"/>
          <c:tx>
            <c:strRef>
              <c:f>"满意度"</c:f>
              <c:strCache>
                <c:ptCount val="1"/>
                <c:pt idx="0">
                  <c:v>满意度</c:v>
                </c:pt>
              </c:strCache>
            </c:strRef>
          </c:tx>
          <c:spPr>
            <a:solidFill>
              <a:schemeClr val="accent1">
                <a:lumMod val="75000"/>
              </a:schemeClr>
            </a:solidFill>
          </c:spPr>
          <c:dLbls>
            <c:delete val="1"/>
          </c:dLbls>
          <c:cat>
            <c:strRef>
              <c:f>'[2025届毕业生（就业满意度）-18.xls]Sheet1'!$M$4:$O$4</c:f>
              <c:strCache>
                <c:ptCount val="3"/>
                <c:pt idx="0">
                  <c:v>非常满意</c:v>
                </c:pt>
                <c:pt idx="1">
                  <c:v>一般满意</c:v>
                </c:pt>
                <c:pt idx="2">
                  <c:v>不满意</c:v>
                </c:pt>
              </c:strCache>
            </c:strRef>
          </c:cat>
          <c:val>
            <c:numRef>
              <c:f>'[2025届毕业生（就业满意度）-18.xls]Sheet1'!$M$5:$O$5</c:f>
              <c:numCache>
                <c:formatCode>0.00%</c:formatCode>
                <c:ptCount val="3"/>
                <c:pt idx="0">
                  <c:v>0.953655040611562</c:v>
                </c:pt>
                <c:pt idx="1">
                  <c:v>0.0463449593884376</c:v>
                </c:pt>
                <c:pt idx="2">
                  <c:v>0</c:v>
                </c:pt>
              </c:numCache>
            </c:numRef>
          </c:val>
        </c:ser>
        <c:dLbls>
          <c:showLegendKey val="0"/>
          <c:showVal val="0"/>
          <c:showCatName val="0"/>
          <c:showSerName val="0"/>
          <c:showPercent val="0"/>
          <c:showBubbleSize val="0"/>
        </c:dLbls>
        <c:axId val="831318480"/>
        <c:axId val="817886805"/>
      </c:areaChart>
      <c:catAx>
        <c:axId val="831318480"/>
        <c:scaling>
          <c:orientation val="minMax"/>
        </c:scaling>
        <c:delete val="0"/>
        <c:axPos val="b"/>
        <c:majorTickMark val="none"/>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817886805"/>
        <c:crosses val="autoZero"/>
        <c:auto val="1"/>
        <c:lblAlgn val="ctr"/>
        <c:lblOffset val="100"/>
        <c:noMultiLvlLbl val="0"/>
      </c:catAx>
      <c:valAx>
        <c:axId val="817886805"/>
        <c:scaling>
          <c:orientation val="minMax"/>
        </c:scaling>
        <c:delete val="0"/>
        <c:axPos val="l"/>
        <c:majorGridlines/>
        <c:numFmt formatCode="0.00%" sourceLinked="1"/>
        <c:majorTickMark val="none"/>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831318480"/>
        <c:crosses val="autoZero"/>
        <c:crossBetween val="midCat"/>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Table>
    </c:plotArea>
    <c:plotVisOnly val="1"/>
    <c:dispBlanksAs val="zero"/>
    <c:showDLblsOverMax val="0"/>
    <c:extLst>
      <c:ext uri="{0b15fc19-7d7d-44ad-8c2d-2c3a37ce22c3}">
        <chartProps xmlns="https://web.wps.cn/et/2018/main" chartId="{0ba45f2f-9961-449d-b8e9-295219fcb017}"/>
      </c:ext>
    </c:extLst>
  </c:chart>
  <c:spPr>
    <a:noFill/>
    <a:ln w="9525" cap="flat" cmpd="sng" algn="ctr">
      <a:noFill/>
      <a:prstDash val="solid"/>
      <a:round/>
    </a:ln>
  </c:spPr>
  <c:txPr>
    <a:bodyPr rot="0" wrap="square" anchor="ctr" anchorCtr="1"/>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spPr>
            <a:solidFill>
              <a:srgbClr val="5B9BD5">
                <a:lumMod val="75000"/>
              </a:srgbClr>
            </a:soli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delete val="1"/>
          </c:dLbls>
          <c:cat>
            <c:strRef>
              <c:f>'[2025届毕业生（求职途径）-12.xls]Sheet3'!$H$36:$O$36</c:f>
              <c:strCache>
                <c:ptCount val="8"/>
                <c:pt idx="0" c:formatCode="0.00%">
                  <c:v>本校就业中心网站或招聘会</c:v>
                </c:pt>
                <c:pt idx="1" c:formatCode="0.00%">
                  <c:v>其他院校网站或招聘会</c:v>
                </c:pt>
                <c:pt idx="2" c:formatCode="0.00%">
                  <c:v>媒体招聘信息</c:v>
                </c:pt>
                <c:pt idx="3" c:formatCode="0.00%">
                  <c:v>他人介绍</c:v>
                </c:pt>
                <c:pt idx="4" c:formatCode="0.00%">
                  <c:v>自主创业</c:v>
                </c:pt>
                <c:pt idx="5" c:formatCode="0.00%">
                  <c:v>人才市场</c:v>
                </c:pt>
                <c:pt idx="6" c:formatCode="0.00%">
                  <c:v>网络签约</c:v>
                </c:pt>
                <c:pt idx="7" c:formatCode="0.00%">
                  <c:v>政府举办招聘会</c:v>
                </c:pt>
              </c:strCache>
            </c:strRef>
          </c:cat>
          <c:val>
            <c:numRef>
              <c:f>'[2025届毕业生（求职途径）-12.xls]Sheet3'!$H$37:$O$37</c:f>
              <c:numCache>
                <c:formatCode>0.00%</c:formatCode>
                <c:ptCount val="8"/>
                <c:pt idx="0">
                  <c:v>0.239388794567063</c:v>
                </c:pt>
                <c:pt idx="1">
                  <c:v>0.1092246745897</c:v>
                </c:pt>
                <c:pt idx="2">
                  <c:v>0.252971137521222</c:v>
                </c:pt>
                <c:pt idx="3">
                  <c:v>0.338992642897566</c:v>
                </c:pt>
                <c:pt idx="4">
                  <c:v>0.00169875424688562</c:v>
                </c:pt>
                <c:pt idx="5">
                  <c:v>0.0226372382569327</c:v>
                </c:pt>
                <c:pt idx="6">
                  <c:v>0.0226372382569327</c:v>
                </c:pt>
                <c:pt idx="7">
                  <c:v>0.0124575311438279</c:v>
                </c:pt>
              </c:numCache>
            </c:numRef>
          </c:val>
        </c:ser>
        <c:dLbls>
          <c:showLegendKey val="0"/>
          <c:showVal val="0"/>
          <c:showCatName val="0"/>
          <c:showSerName val="0"/>
          <c:showPercent val="0"/>
          <c:showBubbleSize val="0"/>
        </c:dLbls>
        <c:gapWidth val="200"/>
        <c:overlap val="100"/>
        <c:axId val="751902404"/>
        <c:axId val="907851419"/>
      </c:barChart>
      <c:catAx>
        <c:axId val="751902404"/>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907851419"/>
        <c:crosses val="autoZero"/>
        <c:auto val="1"/>
        <c:lblAlgn val="ctr"/>
        <c:lblOffset val="100"/>
        <c:noMultiLvlLbl val="0"/>
      </c:catAx>
      <c:valAx>
        <c:axId val="907851419"/>
        <c:scaling>
          <c:orientation val="minMax"/>
        </c:scaling>
        <c:delete val="0"/>
        <c:axPos val="l"/>
        <c:majorGridlines>
          <c:spPr>
            <a:ln w="6350" cap="flat" cmpd="sng" algn="ctr">
              <a:solidFill>
                <a:schemeClr val="tx1">
                  <a:lumMod val="50000"/>
                  <a:lumOff val="50000"/>
                  <a:alpha val="2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751902404"/>
        <c:crosses val="autoZero"/>
        <c:crossBetween val="between"/>
      </c:valAx>
      <c:spPr>
        <a:noFill/>
        <a:ln>
          <a:noFill/>
        </a:ln>
        <a:effectLst/>
      </c:spPr>
    </c:plotArea>
    <c:plotVisOnly val="1"/>
    <c:dispBlanksAs val="gap"/>
    <c:showDLblsOverMax val="0"/>
    <c:extLst>
      <c:ext uri="{0b15fc19-7d7d-44ad-8c2d-2c3a37ce22c3}">
        <chartProps xmlns="https://web.wps.cn/et/2018/main" chartId="{eed04cb5-6477-454d-9272-93b756b9b932}"/>
      </c:ext>
    </c:extLst>
  </c:chart>
  <c:spPr>
    <a:solidFill>
      <a:schemeClr val="bg1"/>
    </a:solidFill>
    <a:ln w="6350" cap="flat" cmpd="sng" algn="ctr">
      <a:noFill/>
      <a:round/>
    </a:ln>
    <a:effectLst/>
  </c:spPr>
  <c:txPr>
    <a:bodyPr/>
    <a:lstStyle/>
    <a:p>
      <a:pPr>
        <a:defRPr lang="zh-CN">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0.0101119537739256"/>
                  <c:y val="-0.0758024129296608"/>
                </c:manualLayout>
              </c:layout>
              <c:dLblPos val="r"/>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'[2025届大专毕业生（就业形式变化趋势）-4.xls]Sheet1'!$D$15:$F$15</c:f>
              <c:strCache>
                <c:ptCount val="3"/>
                <c:pt idx="0">
                  <c:v>2023年初次</c:v>
                </c:pt>
                <c:pt idx="1">
                  <c:v>2024年初次</c:v>
                </c:pt>
                <c:pt idx="2">
                  <c:v>2025初次</c:v>
                </c:pt>
              </c:strCache>
            </c:strRef>
          </c:cat>
          <c:val>
            <c:numRef>
              <c:f>'[2025届大专毕业生（就业形式变化趋势）-4.xls]Sheet1'!$D$16:$F$16</c:f>
              <c:numCache>
                <c:formatCode>0.00%</c:formatCode>
                <c:ptCount val="3"/>
                <c:pt idx="0">
                  <c:v>0.8593</c:v>
                </c:pt>
                <c:pt idx="1">
                  <c:v>0.8347</c:v>
                </c:pt>
                <c:pt idx="2">
                  <c:v>0.8375</c:v>
                </c:pt>
              </c:numCache>
            </c:numRef>
          </c:val>
          <c:smooth val="0"/>
        </c:ser>
        <c:dLbls>
          <c:showLegendKey val="0"/>
          <c:showVal val="0"/>
          <c:showCatName val="0"/>
          <c:showSerName val="0"/>
          <c:showPercent val="0"/>
          <c:showBubbleSize val="0"/>
        </c:dLbls>
        <c:marker val="1"/>
        <c:smooth val="0"/>
        <c:axId val="79917818"/>
        <c:axId val="113644833"/>
      </c:lineChart>
      <c:catAx>
        <c:axId val="79917818"/>
        <c:scaling>
          <c:orientation val="minMax"/>
        </c:scaling>
        <c:delete val="0"/>
        <c:axPos val="b"/>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113644833"/>
        <c:crosses val="autoZero"/>
        <c:auto val="1"/>
        <c:lblAlgn val="ctr"/>
        <c:lblOffset val="100"/>
        <c:noMultiLvlLbl val="0"/>
      </c:catAx>
      <c:valAx>
        <c:axId val="113644833"/>
        <c:scaling>
          <c:orientation val="minMax"/>
        </c:scaling>
        <c:delete val="0"/>
        <c:axPos val="l"/>
        <c:majorGridlines>
          <c:spPr>
            <a:ln w="6350" cap="flat" cmpd="sng" algn="ctr">
              <a:solidFill>
                <a:schemeClr val="tx1">
                  <a:lumMod val="50000"/>
                  <a:lumOff val="50000"/>
                  <a:alpha val="25000"/>
                </a:schemeClr>
              </a:solidFill>
              <a:round/>
            </a:ln>
            <a:effectLst/>
          </c:spPr>
        </c:majorGridlines>
        <c:numFmt formatCode="0.00%" sourceLinked="1"/>
        <c:majorTickMark val="out"/>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79917818"/>
        <c:crosses val="autoZero"/>
        <c:crossBetween val="between"/>
      </c:valAx>
      <c:spPr>
        <a:noFill/>
        <a:ln>
          <a:noFill/>
        </a:ln>
        <a:effectLst/>
      </c:spPr>
    </c:plotArea>
    <c:plotVisOnly val="1"/>
    <c:dispBlanksAs val="gap"/>
    <c:showDLblsOverMax val="0"/>
    <c:extLst>
      <c:ext uri="{0b15fc19-7d7d-44ad-8c2d-2c3a37ce22c3}">
        <chartProps xmlns="https://web.wps.cn/et/2018/main" chartId="{a1e5dc90-8260-48d6-a715-be98ad24d919}"/>
      </c:ext>
    </c:extLst>
  </c:chart>
  <c:spPr>
    <a:solidFill>
      <a:schemeClr val="bg1"/>
    </a:solidFill>
    <a:ln w="6350" cap="flat" cmpd="sng" algn="ctr">
      <a:noFill/>
      <a:round/>
    </a:ln>
    <a:effectLst/>
  </c:spPr>
  <c:txPr>
    <a:bodyPr/>
    <a:lstStyle/>
    <a:p>
      <a:pPr>
        <a:defRPr lang="zh-CN"/>
      </a:pPr>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'[2025届大专毕业生（就业形式变化趋势）-4.xls]Sheet1'!$A$2</c:f>
              <c:strCache>
                <c:ptCount val="1"/>
                <c:pt idx="0">
                  <c:v>2023届</c:v>
                </c:pt>
              </c:strCache>
            </c:strRef>
          </c:tx>
          <c:spPr>
            <a:solidFill>
              <a:srgbClr val="5B9BD5">
                <a:lumMod val="50000"/>
              </a:srgbClr>
            </a:solidFill>
            <a:ln>
              <a:noFill/>
            </a:ln>
            <a:effectLst/>
          </c:spPr>
          <c:invertIfNegative val="0"/>
          <c:dLbls>
            <c:delete val="1"/>
          </c:dLbls>
          <c:cat>
            <c:strRef>
              <c:f>'[2025届大专毕业生（就业形式变化趋势）-4.xls]Sheet1'!$B$1:$D$1</c:f>
              <c:strCache>
                <c:ptCount val="3"/>
                <c:pt idx="0">
                  <c:v>协议就业率</c:v>
                </c:pt>
                <c:pt idx="1">
                  <c:v>签劳动合同就业率</c:v>
                </c:pt>
                <c:pt idx="2">
                  <c:v>灵活就业率</c:v>
                </c:pt>
              </c:strCache>
            </c:strRef>
          </c:cat>
          <c:val>
            <c:numRef>
              <c:f>'[2025届大专毕业生（就业形式变化趋势）-4.xls]Sheet1'!$B$2:$D$2</c:f>
              <c:numCache>
                <c:formatCode>0.00%</c:formatCode>
                <c:ptCount val="3"/>
                <c:pt idx="0">
                  <c:v>0.5671</c:v>
                </c:pt>
                <c:pt idx="1">
                  <c:v>0.0144</c:v>
                </c:pt>
                <c:pt idx="2">
                  <c:v>0.0882</c:v>
                </c:pt>
              </c:numCache>
            </c:numRef>
          </c:val>
        </c:ser>
        <c:ser>
          <c:idx val="1"/>
          <c:order val="1"/>
          <c:tx>
            <c:strRef>
              <c:f>'[2025届大专毕业生（就业形式变化趋势）-4.xls]Sheet1'!$A$3</c:f>
              <c:strCache>
                <c:ptCount val="1"/>
                <c:pt idx="0">
                  <c:v>2024届</c:v>
                </c:pt>
              </c:strCache>
            </c:strRef>
          </c:tx>
          <c:spPr>
            <a:solidFill>
              <a:srgbClr val="5B9BD5">
                <a:lumMod val="75000"/>
              </a:srgbClr>
            </a:solidFill>
            <a:ln>
              <a:noFill/>
            </a:ln>
            <a:effectLst/>
          </c:spPr>
          <c:invertIfNegative val="0"/>
          <c:dLbls>
            <c:delete val="1"/>
          </c:dLbls>
          <c:cat>
            <c:strRef>
              <c:f>'[2025届大专毕业生（就业形式变化趋势）-4.xls]Sheet1'!$B$1:$D$1</c:f>
              <c:strCache>
                <c:ptCount val="3"/>
                <c:pt idx="0">
                  <c:v>协议就业率</c:v>
                </c:pt>
                <c:pt idx="1">
                  <c:v>签劳动合同就业率</c:v>
                </c:pt>
                <c:pt idx="2">
                  <c:v>灵活就业率</c:v>
                </c:pt>
              </c:strCache>
            </c:strRef>
          </c:cat>
          <c:val>
            <c:numRef>
              <c:f>'[2025届大专毕业生（就业形式变化趋势）-4.xls]Sheet1'!$B$3:$D$3</c:f>
              <c:numCache>
                <c:formatCode>0.00%</c:formatCode>
                <c:ptCount val="3"/>
                <c:pt idx="0">
                  <c:v>0.5984</c:v>
                </c:pt>
                <c:pt idx="1">
                  <c:v>0.0122</c:v>
                </c:pt>
                <c:pt idx="2">
                  <c:v>0.1964</c:v>
                </c:pt>
              </c:numCache>
            </c:numRef>
          </c:val>
        </c:ser>
        <c:ser>
          <c:idx val="2"/>
          <c:order val="2"/>
          <c:tx>
            <c:strRef>
              <c:f>'[2025届大专毕业生（就业形式变化趋势）-4.xls]Sheet1'!$A$4</c:f>
              <c:strCache>
                <c:ptCount val="1"/>
                <c:pt idx="0">
                  <c:v>2025届</c:v>
                </c:pt>
              </c:strCache>
            </c:strRef>
          </c:tx>
          <c:spPr>
            <a:solidFill>
              <a:srgbClr val="5B9BD5">
                <a:lumMod val="40000"/>
                <a:lumOff val="60000"/>
              </a:srgbClr>
            </a:solidFill>
            <a:ln>
              <a:noFill/>
            </a:ln>
            <a:effectLst/>
          </c:spPr>
          <c:invertIfNegative val="0"/>
          <c:dLbls>
            <c:delete val="1"/>
          </c:dLbls>
          <c:cat>
            <c:strRef>
              <c:f>'[2025届大专毕业生（就业形式变化趋势）-4.xls]Sheet1'!$B$1:$D$1</c:f>
              <c:strCache>
                <c:ptCount val="3"/>
                <c:pt idx="0">
                  <c:v>协议就业率</c:v>
                </c:pt>
                <c:pt idx="1">
                  <c:v>签劳动合同就业率</c:v>
                </c:pt>
                <c:pt idx="2">
                  <c:v>灵活就业率</c:v>
                </c:pt>
              </c:strCache>
            </c:strRef>
          </c:cat>
          <c:val>
            <c:numRef>
              <c:f>'[2025届大专毕业生（就业形式变化趋势）-4.xls]Sheet1'!$B$4:$D$4</c:f>
              <c:numCache>
                <c:formatCode>0.00%</c:formatCode>
                <c:ptCount val="3"/>
                <c:pt idx="0">
                  <c:v>0.6747</c:v>
                </c:pt>
                <c:pt idx="1">
                  <c:v>0.0108</c:v>
                </c:pt>
                <c:pt idx="2">
                  <c:v>0.2369</c:v>
                </c:pt>
              </c:numCache>
            </c:numRef>
          </c:val>
        </c:ser>
        <c:dLbls>
          <c:showLegendKey val="0"/>
          <c:showVal val="1"/>
          <c:showCatName val="0"/>
          <c:showSerName val="0"/>
          <c:showPercent val="0"/>
          <c:showBubbleSize val="0"/>
        </c:dLbls>
        <c:gapWidth val="216"/>
        <c:overlap val="-32"/>
        <c:axId val="192869352"/>
        <c:axId val="156353826"/>
      </c:barChart>
      <c:catAx>
        <c:axId val="1928693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156353826"/>
        <c:crosses val="autoZero"/>
        <c:auto val="1"/>
        <c:lblAlgn val="ctr"/>
        <c:lblOffset val="100"/>
        <c:noMultiLvlLbl val="0"/>
      </c:catAx>
      <c:valAx>
        <c:axId val="156353826"/>
        <c:scaling>
          <c:orientation val="minMax"/>
        </c:scaling>
        <c:delete val="0"/>
        <c:axPos val="l"/>
        <c:majorGridlines>
          <c:spPr>
            <a:ln w="9525" cap="flat" cmpd="sng" algn="ctr">
              <a:solidFill>
                <a:schemeClr val="tx1">
                  <a:lumMod val="50000"/>
                  <a:lumOff val="50000"/>
                  <a:alpha val="35000"/>
                </a:schemeClr>
              </a:solidFill>
              <a:round/>
            </a:ln>
            <a:effectLst/>
          </c:spPr>
        </c:majorGridlines>
        <c:numFmt formatCode="0.00%" sourceLinked="1"/>
        <c:majorTickMark val="out"/>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192869352"/>
        <c:crosses val="autoZero"/>
        <c:crossBetween val="between"/>
      </c:valAx>
      <c:dTable>
        <c:showHorzBorder val="1"/>
        <c:showVertBorder val="1"/>
        <c:showOutline val="1"/>
        <c:showKeys val="1"/>
        <c:spPr>
          <a:noFill/>
          <a:ln w="9525" cap="flat" cmpd="sng" algn="ctr">
            <a:solidFill>
              <a:schemeClr val="tx1">
                <a:lumMod val="50000"/>
                <a:lumOff val="50000"/>
                <a:alpha val="25000"/>
              </a:schemeClr>
            </a:solidFill>
            <a:round/>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Table>
      <c:spPr>
        <a:noFill/>
        <a:ln>
          <a:noFill/>
        </a:ln>
        <a:effectLst/>
      </c:spPr>
    </c:plotArea>
    <c:plotVisOnly val="1"/>
    <c:dispBlanksAs val="gap"/>
    <c:showDLblsOverMax val="0"/>
    <c:extLst>
      <c:ext uri="{0b15fc19-7d7d-44ad-8c2d-2c3a37ce22c3}">
        <chartProps xmlns="https://web.wps.cn/et/2018/main" chartId="{e79eb0f3-3b4b-4716-9dc0-0f36515e87e4}"/>
      </c:ext>
    </c:extLst>
  </c:chart>
  <c:spPr>
    <a:solidFill>
      <a:schemeClr val="bg1"/>
    </a:solidFill>
    <a:ln w="9525" cap="flat" cmpd="sng" algn="ctr">
      <a:noFill/>
      <a:round/>
    </a:ln>
    <a:effectLst/>
  </c:spPr>
  <c:txPr>
    <a:bodyPr/>
    <a:lstStyle/>
    <a:p>
      <a:pPr>
        <a:defRPr lang="zh-CN" b="0">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rgbClr val="5B9BD5">
                  <a:lumMod val="40000"/>
                  <a:lumOff val="60000"/>
                </a:srgbClr>
              </a:solidFill>
              <a:ln>
                <a:solidFill>
                  <a:schemeClr val="bg1"/>
                </a:solidFill>
              </a:ln>
              <a:effectLst/>
            </c:spPr>
          </c:dPt>
          <c:dPt>
            <c:idx val="2"/>
            <c:bubble3D val="0"/>
            <c:spPr>
              <a:solidFill>
                <a:schemeClr val="accent3"/>
              </a:solidFill>
              <a:ln>
                <a:solidFill>
                  <a:schemeClr val="bg1"/>
                </a:solidFill>
              </a:ln>
              <a:effectLst/>
            </c:spPr>
          </c:dPt>
          <c:dLbls>
            <c:dLbl>
              <c:idx val="0"/>
              <c:layout>
                <c:manualLayout>
                  <c:x val="0.286034075363761"/>
                  <c:y val="-0.137151865475565"/>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1"/>
              <c:layout>
                <c:manualLayout>
                  <c:x val="-0.228722763934032"/>
                  <c:y val="0.0236555748304684"/>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2"/>
              <c:layout>
                <c:manualLayout>
                  <c:x val="0.174551583002287"/>
                  <c:y val="0.0157703832203123"/>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'[2025届毕业生（母校满意度）-13.xls]Sheet1'!$M$4:$O$4</c:f>
              <c:strCache>
                <c:ptCount val="3"/>
                <c:pt idx="0">
                  <c:v>非常满意</c:v>
                </c:pt>
                <c:pt idx="1">
                  <c:v>基本满意</c:v>
                </c:pt>
                <c:pt idx="2">
                  <c:v>不满意</c:v>
                </c:pt>
              </c:strCache>
            </c:strRef>
          </c:cat>
          <c:val>
            <c:numRef>
              <c:f>'[2025届毕业生（母校满意度）-13.xls]Sheet1'!$M$5:$O$5</c:f>
              <c:numCache>
                <c:formatCode>0.00%</c:formatCode>
                <c:ptCount val="3"/>
                <c:pt idx="0">
                  <c:v>0.992396958783513</c:v>
                </c:pt>
                <c:pt idx="1">
                  <c:v>0.00760304121648659</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2e9adbdd-c56a-4081-94b3-f167c1af0e1a}"/>
      </c:ext>
    </c:extLst>
  </c:chart>
  <c:spPr>
    <a:solidFill>
      <a:schemeClr val="bg1"/>
    </a:solidFill>
    <a:ln w="6350" cap="flat" cmpd="sng" algn="ctr">
      <a:noFill/>
      <a:round/>
    </a:ln>
    <a:effectLst/>
  </c:spPr>
  <c:txPr>
    <a:bodyPr/>
    <a:lstStyle/>
    <a:p>
      <a:pPr>
        <a:defRPr lang="zh-CN">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'[2025届大专毕业生（教学相关）.xlsx]Sheet1'!$O$40</c:f>
              <c:strCache>
                <c:ptCount val="1"/>
                <c:pt idx="0">
                  <c:v>人数</c:v>
                </c:pt>
              </c:strCache>
            </c:strRef>
          </c:tx>
          <c:spPr>
            <a:solidFill>
              <a:schemeClr val="accent1"/>
            </a:solidFill>
            <a:ln>
              <a:noFill/>
            </a:ln>
            <a:effectLst/>
          </c:spPr>
          <c:invertIfNegative val="0"/>
          <c:dLbls>
            <c:delete val="1"/>
          </c:dLbls>
          <c:cat>
            <c:strRef>
              <c:f>'[2025届大专毕业生（教学相关）.xlsx]Sheet1'!$N$41:$N$44</c:f>
              <c:strCache>
                <c:ptCount val="4"/>
                <c:pt idx="0">
                  <c:v>价值很大</c:v>
                </c:pt>
                <c:pt idx="1">
                  <c:v>价值较大</c:v>
                </c:pt>
                <c:pt idx="2">
                  <c:v>价值一般</c:v>
                </c:pt>
                <c:pt idx="3">
                  <c:v>价值不大</c:v>
                </c:pt>
              </c:strCache>
            </c:strRef>
          </c:cat>
          <c:val>
            <c:numRef>
              <c:f>'[2025届大专毕业生（教学相关）.xlsx]Sheet1'!$O$41:$O$44</c:f>
              <c:numCache>
                <c:formatCode>General</c:formatCode>
                <c:ptCount val="4"/>
                <c:pt idx="0">
                  <c:v>2415</c:v>
                </c:pt>
                <c:pt idx="1">
                  <c:v>84</c:v>
                </c:pt>
                <c:pt idx="2">
                  <c:v>0</c:v>
                </c:pt>
                <c:pt idx="3">
                  <c:v>0</c:v>
                </c:pt>
              </c:numCache>
            </c:numRef>
          </c:val>
        </c:ser>
        <c:dLbls>
          <c:showLegendKey val="0"/>
          <c:showVal val="0"/>
          <c:showCatName val="0"/>
          <c:showSerName val="0"/>
          <c:showPercent val="0"/>
          <c:showBubbleSize val="0"/>
        </c:dLbls>
        <c:gapWidth val="219"/>
        <c:overlap val="-27"/>
        <c:axId val="1234332783"/>
        <c:axId val="1234327375"/>
      </c:barChart>
      <c:lineChart>
        <c:grouping val="standard"/>
        <c:varyColors val="0"/>
        <c:ser>
          <c:idx val="1"/>
          <c:order val="1"/>
          <c:tx>
            <c:strRef>
              <c:f>'[2025届大专毕业生（教学相关）.xlsx]Sheet1'!$P$40</c:f>
              <c:strCache>
                <c:ptCount val="1"/>
                <c:pt idx="0">
                  <c:v>百分比</c:v>
                </c:pt>
              </c:strCache>
            </c:strRef>
          </c:tx>
          <c:spPr>
            <a:ln w="28575" cap="rnd">
              <a:solidFill>
                <a:schemeClr val="accent2"/>
              </a:solidFill>
              <a:round/>
            </a:ln>
            <a:effectLst/>
          </c:spPr>
          <c:marker>
            <c:symbol val="none"/>
          </c:marker>
          <c:dLbls>
            <c:delete val="1"/>
          </c:dLbls>
          <c:cat>
            <c:strRef>
              <c:f>'[2025届大专毕业生（教学相关）.xlsx]Sheet1'!$N$41:$N$44</c:f>
              <c:strCache>
                <c:ptCount val="4"/>
                <c:pt idx="0">
                  <c:v>价值很大</c:v>
                </c:pt>
                <c:pt idx="1">
                  <c:v>价值较大</c:v>
                </c:pt>
                <c:pt idx="2">
                  <c:v>价值一般</c:v>
                </c:pt>
                <c:pt idx="3">
                  <c:v>价值不大</c:v>
                </c:pt>
              </c:strCache>
            </c:strRef>
          </c:cat>
          <c:val>
            <c:numRef>
              <c:f>'[2025届大专毕业生（教学相关）.xlsx]Sheet1'!$P$41:$P$44</c:f>
              <c:numCache>
                <c:formatCode>0.00%</c:formatCode>
                <c:ptCount val="4"/>
                <c:pt idx="0">
                  <c:v>0.966386554621849</c:v>
                </c:pt>
                <c:pt idx="1">
                  <c:v>0.0336134453781513</c:v>
                </c:pt>
                <c:pt idx="2">
                  <c:v>0</c:v>
                </c:pt>
                <c:pt idx="3">
                  <c:v>0</c:v>
                </c:pt>
              </c:numCache>
            </c:numRef>
          </c:val>
          <c:smooth val="0"/>
        </c:ser>
        <c:dLbls>
          <c:showLegendKey val="0"/>
          <c:showVal val="0"/>
          <c:showCatName val="0"/>
          <c:showSerName val="0"/>
          <c:showPercent val="0"/>
          <c:showBubbleSize val="0"/>
        </c:dLbls>
        <c:marker val="0"/>
        <c:smooth val="0"/>
        <c:axId val="1234333199"/>
        <c:axId val="1234324463"/>
      </c:lineChart>
      <c:catAx>
        <c:axId val="1234332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4327375"/>
        <c:crosses val="autoZero"/>
        <c:auto val="1"/>
        <c:lblAlgn val="ctr"/>
        <c:lblOffset val="100"/>
        <c:noMultiLvlLbl val="0"/>
      </c:catAx>
      <c:valAx>
        <c:axId val="12343273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4332783"/>
        <c:crosses val="autoZero"/>
        <c:crossBetween val="between"/>
      </c:valAx>
      <c:catAx>
        <c:axId val="1234333199"/>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4324463"/>
        <c:crosses val="autoZero"/>
        <c:auto val="1"/>
        <c:lblAlgn val="ctr"/>
        <c:lblOffset val="100"/>
        <c:noMultiLvlLbl val="0"/>
      </c:catAx>
      <c:valAx>
        <c:axId val="1234324463"/>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4333199"/>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a6bc541-f020-4a2c-8492-adbde884ed97}"/>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'[2025届大专毕业生（教学相关）.xlsx]Sheet1'!$O$55</c:f>
              <c:strCache>
                <c:ptCount val="1"/>
                <c:pt idx="0">
                  <c:v>人数</c:v>
                </c:pt>
              </c:strCache>
            </c:strRef>
          </c:tx>
          <c:spPr>
            <a:solidFill>
              <a:schemeClr val="accent1"/>
            </a:solidFill>
            <a:ln>
              <a:noFill/>
            </a:ln>
            <a:effectLst/>
          </c:spPr>
          <c:invertIfNegative val="0"/>
          <c:dLbls>
            <c:delete val="1"/>
          </c:dLbls>
          <c:cat>
            <c:strRef>
              <c:f>'[2025届大专毕业生（教学相关）.xlsx]Sheet1'!$N$56:$N$59</c:f>
              <c:strCache>
                <c:ptCount val="4"/>
                <c:pt idx="0">
                  <c:v>掌握很好</c:v>
                </c:pt>
                <c:pt idx="1">
                  <c:v>掌握较好</c:v>
                </c:pt>
                <c:pt idx="2">
                  <c:v>掌握一般</c:v>
                </c:pt>
                <c:pt idx="3">
                  <c:v>没掌握</c:v>
                </c:pt>
              </c:strCache>
            </c:strRef>
          </c:cat>
          <c:val>
            <c:numRef>
              <c:f>'[2025届大专毕业生（教学相关）.xlsx]Sheet1'!$O$56:$O$59</c:f>
              <c:numCache>
                <c:formatCode>General</c:formatCode>
                <c:ptCount val="4"/>
                <c:pt idx="0">
                  <c:v>2012</c:v>
                </c:pt>
                <c:pt idx="1">
                  <c:v>480</c:v>
                </c:pt>
                <c:pt idx="2">
                  <c:v>7</c:v>
                </c:pt>
                <c:pt idx="3">
                  <c:v>0</c:v>
                </c:pt>
              </c:numCache>
            </c:numRef>
          </c:val>
        </c:ser>
        <c:dLbls>
          <c:showLegendKey val="0"/>
          <c:showVal val="0"/>
          <c:showCatName val="0"/>
          <c:showSerName val="0"/>
          <c:showPercent val="0"/>
          <c:showBubbleSize val="0"/>
        </c:dLbls>
        <c:gapWidth val="219"/>
        <c:overlap val="-27"/>
        <c:axId val="1234332783"/>
        <c:axId val="1234327375"/>
      </c:barChart>
      <c:lineChart>
        <c:grouping val="standard"/>
        <c:varyColors val="0"/>
        <c:ser>
          <c:idx val="1"/>
          <c:order val="1"/>
          <c:tx>
            <c:strRef>
              <c:f>'[2025届大专毕业生（教学相关）.xlsx]Sheet1'!$P$55</c:f>
              <c:strCache>
                <c:ptCount val="1"/>
                <c:pt idx="0">
                  <c:v>百分比</c:v>
                </c:pt>
              </c:strCache>
            </c:strRef>
          </c:tx>
          <c:spPr>
            <a:ln w="28575" cap="rnd">
              <a:solidFill>
                <a:schemeClr val="accent2"/>
              </a:solidFill>
              <a:round/>
            </a:ln>
            <a:effectLst/>
          </c:spPr>
          <c:marker>
            <c:symbol val="none"/>
          </c:marker>
          <c:dLbls>
            <c:delete val="1"/>
          </c:dLbls>
          <c:cat>
            <c:strRef>
              <c:f>'[2025届大专毕业生（教学相关）.xlsx]Sheet1'!$N$56:$N$59</c:f>
              <c:strCache>
                <c:ptCount val="4"/>
                <c:pt idx="0">
                  <c:v>掌握很好</c:v>
                </c:pt>
                <c:pt idx="1">
                  <c:v>掌握较好</c:v>
                </c:pt>
                <c:pt idx="2">
                  <c:v>掌握一般</c:v>
                </c:pt>
                <c:pt idx="3">
                  <c:v>没掌握</c:v>
                </c:pt>
              </c:strCache>
            </c:strRef>
          </c:cat>
          <c:val>
            <c:numRef>
              <c:f>'[2025届大专毕业生（教学相关）.xlsx]Sheet1'!$P$56:$P$59</c:f>
              <c:numCache>
                <c:formatCode>0.00%</c:formatCode>
                <c:ptCount val="4"/>
                <c:pt idx="0">
                  <c:v>0.805122048819528</c:v>
                </c:pt>
                <c:pt idx="1">
                  <c:v>0.192076830732293</c:v>
                </c:pt>
                <c:pt idx="2">
                  <c:v>0.00280112044817927</c:v>
                </c:pt>
                <c:pt idx="3">
                  <c:v>0</c:v>
                </c:pt>
              </c:numCache>
            </c:numRef>
          </c:val>
          <c:smooth val="0"/>
        </c:ser>
        <c:dLbls>
          <c:showLegendKey val="0"/>
          <c:showVal val="0"/>
          <c:showCatName val="0"/>
          <c:showSerName val="0"/>
          <c:showPercent val="0"/>
          <c:showBubbleSize val="0"/>
        </c:dLbls>
        <c:marker val="0"/>
        <c:smooth val="0"/>
        <c:axId val="1234333199"/>
        <c:axId val="1234324463"/>
      </c:lineChart>
      <c:catAx>
        <c:axId val="1234332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4327375"/>
        <c:crosses val="autoZero"/>
        <c:auto val="1"/>
        <c:lblAlgn val="ctr"/>
        <c:lblOffset val="100"/>
        <c:noMultiLvlLbl val="0"/>
      </c:catAx>
      <c:valAx>
        <c:axId val="12343273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4332783"/>
        <c:crosses val="autoZero"/>
        <c:crossBetween val="between"/>
      </c:valAx>
      <c:catAx>
        <c:axId val="1234333199"/>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4324463"/>
        <c:crosses val="autoZero"/>
        <c:auto val="1"/>
        <c:lblAlgn val="ctr"/>
        <c:lblOffset val="100"/>
        <c:noMultiLvlLbl val="0"/>
      </c:catAx>
      <c:valAx>
        <c:axId val="1234324463"/>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4333199"/>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a6bc541-f020-4a2c-8492-adbde884ed97}"/>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'[2025届大专毕业生（生源情况分布）-16.xls]Sheet1'!$B$49:$O$49</c:f>
              <c:strCache>
                <c:ptCount val="14"/>
                <c:pt idx="0">
                  <c:v>沈阳市</c:v>
                </c:pt>
                <c:pt idx="1">
                  <c:v>大连市</c:v>
                </c:pt>
                <c:pt idx="2">
                  <c:v>鞍山市</c:v>
                </c:pt>
                <c:pt idx="3">
                  <c:v>抚顺市</c:v>
                </c:pt>
                <c:pt idx="4">
                  <c:v>本溪市</c:v>
                </c:pt>
                <c:pt idx="5">
                  <c:v>丹东市</c:v>
                </c:pt>
                <c:pt idx="6">
                  <c:v>锦州市</c:v>
                </c:pt>
                <c:pt idx="7">
                  <c:v>营口市</c:v>
                </c:pt>
                <c:pt idx="8">
                  <c:v>阜新市</c:v>
                </c:pt>
                <c:pt idx="9">
                  <c:v>辽阳市</c:v>
                </c:pt>
                <c:pt idx="10">
                  <c:v>盘锦市</c:v>
                </c:pt>
                <c:pt idx="11">
                  <c:v>铁岭市</c:v>
                </c:pt>
                <c:pt idx="12">
                  <c:v>朝阳市</c:v>
                </c:pt>
                <c:pt idx="13">
                  <c:v>葫芦岛市</c:v>
                </c:pt>
              </c:strCache>
            </c:strRef>
          </c:cat>
          <c:val>
            <c:numRef>
              <c:f>'[2025届大专毕业生（生源情况分布）-16.xls]Sheet1'!$B$50:$O$50</c:f>
              <c:numCache>
                <c:formatCode>General</c:formatCode>
                <c:ptCount val="14"/>
                <c:pt idx="0">
                  <c:v>155</c:v>
                </c:pt>
                <c:pt idx="1">
                  <c:v>61</c:v>
                </c:pt>
                <c:pt idx="2">
                  <c:v>76</c:v>
                </c:pt>
                <c:pt idx="3">
                  <c:v>23</c:v>
                </c:pt>
                <c:pt idx="4">
                  <c:v>32</c:v>
                </c:pt>
                <c:pt idx="5">
                  <c:v>61</c:v>
                </c:pt>
                <c:pt idx="6">
                  <c:v>125</c:v>
                </c:pt>
                <c:pt idx="7">
                  <c:v>38</c:v>
                </c:pt>
                <c:pt idx="8">
                  <c:v>597</c:v>
                </c:pt>
                <c:pt idx="9">
                  <c:v>50</c:v>
                </c:pt>
                <c:pt idx="10">
                  <c:v>37</c:v>
                </c:pt>
                <c:pt idx="11">
                  <c:v>103</c:v>
                </c:pt>
                <c:pt idx="12">
                  <c:v>224</c:v>
                </c:pt>
                <c:pt idx="13">
                  <c:v>153</c:v>
                </c:pt>
              </c:numCache>
            </c:numRef>
          </c:val>
        </c:ser>
        <c:dLbls>
          <c:showLegendKey val="0"/>
          <c:showVal val="0"/>
          <c:showCatName val="0"/>
          <c:showSerName val="0"/>
          <c:showPercent val="0"/>
          <c:showBubbleSize val="0"/>
        </c:dLbls>
        <c:gapWidth val="246"/>
        <c:overlap val="0"/>
        <c:axId val="66194873"/>
        <c:axId val="371043280"/>
      </c:barChart>
      <c:catAx>
        <c:axId val="66194873"/>
        <c:scaling>
          <c:orientation val="minMax"/>
        </c:scaling>
        <c:delete val="0"/>
        <c:axPos val="l"/>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1043280"/>
        <c:crosses val="autoZero"/>
        <c:auto val="1"/>
        <c:lblAlgn val="ctr"/>
        <c:lblOffset val="100"/>
        <c:noMultiLvlLbl val="0"/>
      </c:catAx>
      <c:valAx>
        <c:axId val="371043280"/>
        <c:scaling>
          <c:orientation val="minMax"/>
        </c:scaling>
        <c:delete val="0"/>
        <c:axPos val="b"/>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194873"/>
        <c:crosses val="autoZero"/>
        <c:crossBetween val="between"/>
      </c:valAx>
      <c:spPr>
        <a:noFill/>
        <a:ln>
          <a:noFill/>
        </a:ln>
        <a:effectLst/>
      </c:spPr>
    </c:plotArea>
    <c:plotVisOnly val="1"/>
    <c:dispBlanksAs val="gap"/>
    <c:showDLblsOverMax val="0"/>
    <c:extLst>
      <c:ext uri="{0b15fc19-7d7d-44ad-8c2d-2c3a37ce22c3}">
        <chartProps xmlns="https://web.wps.cn/et/2018/main" chartId="{25e2dae3-cc7b-4b6a-9879-5ba1d7eb1dfe}"/>
      </c:ext>
    </c:extLst>
  </c:chart>
  <c:spPr>
    <a:solidFill>
      <a:schemeClr val="bg1"/>
    </a:solidFill>
    <a:ln w="9525" cap="flat" cmpd="sng" algn="ctr">
      <a:noFill/>
      <a:prstDash val="solid"/>
      <a:round/>
    </a:ln>
    <a:effectLst/>
  </c:spPr>
  <c:txPr>
    <a:bodyPr wrap="square"/>
    <a:lstStyle/>
    <a:p>
      <a:pPr>
        <a:defRPr lang="zh-CN"/>
      </a:pPr>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'[2025届大专毕业生（教学相关）.xlsx]Sheet1'!$B$39</c:f>
              <c:strCache>
                <c:ptCount val="1"/>
                <c:pt idx="0">
                  <c:v>人数</c:v>
                </c:pt>
              </c:strCache>
            </c:strRef>
          </c:tx>
          <c:spPr>
            <a:solidFill>
              <a:schemeClr val="accent1"/>
            </a:solidFill>
            <a:ln>
              <a:noFill/>
            </a:ln>
            <a:effectLst/>
          </c:spPr>
          <c:invertIfNegative val="0"/>
          <c:dLbls>
            <c:delete val="1"/>
          </c:dLbls>
          <c:cat>
            <c:strRef>
              <c:f>'[2025届大专毕业生（教学相关）.xlsx]Sheet1'!$A$40:$A$43</c:f>
              <c:strCache>
                <c:ptCount val="4"/>
                <c:pt idx="0">
                  <c:v>安排很好</c:v>
                </c:pt>
                <c:pt idx="1">
                  <c:v>安排较好</c:v>
                </c:pt>
                <c:pt idx="2">
                  <c:v>安排一般</c:v>
                </c:pt>
                <c:pt idx="3">
                  <c:v>安排不好</c:v>
                </c:pt>
              </c:strCache>
            </c:strRef>
          </c:cat>
          <c:val>
            <c:numRef>
              <c:f>'[2025届大专毕业生（教学相关）.xlsx]Sheet1'!$B$40:$B$43</c:f>
              <c:numCache>
                <c:formatCode>General</c:formatCode>
                <c:ptCount val="4"/>
                <c:pt idx="0">
                  <c:v>2248</c:v>
                </c:pt>
                <c:pt idx="1">
                  <c:v>251</c:v>
                </c:pt>
                <c:pt idx="2">
                  <c:v>0</c:v>
                </c:pt>
                <c:pt idx="3">
                  <c:v>0</c:v>
                </c:pt>
              </c:numCache>
            </c:numRef>
          </c:val>
        </c:ser>
        <c:dLbls>
          <c:showLegendKey val="0"/>
          <c:showVal val="0"/>
          <c:showCatName val="0"/>
          <c:showSerName val="0"/>
          <c:showPercent val="0"/>
          <c:showBubbleSize val="0"/>
        </c:dLbls>
        <c:gapWidth val="219"/>
        <c:overlap val="-27"/>
        <c:axId val="1234332783"/>
        <c:axId val="1234327375"/>
      </c:barChart>
      <c:lineChart>
        <c:grouping val="standard"/>
        <c:varyColors val="0"/>
        <c:ser>
          <c:idx val="1"/>
          <c:order val="1"/>
          <c:tx>
            <c:strRef>
              <c:f>'[2025届大专毕业生（教学相关）.xlsx]Sheet1'!$C$39</c:f>
              <c:strCache>
                <c:ptCount val="1"/>
                <c:pt idx="0">
                  <c:v>百分比</c:v>
                </c:pt>
              </c:strCache>
            </c:strRef>
          </c:tx>
          <c:spPr>
            <a:ln w="28575" cap="rnd">
              <a:solidFill>
                <a:schemeClr val="accent2"/>
              </a:solidFill>
              <a:round/>
            </a:ln>
            <a:effectLst/>
          </c:spPr>
          <c:marker>
            <c:symbol val="none"/>
          </c:marker>
          <c:dLbls>
            <c:delete val="1"/>
          </c:dLbls>
          <c:cat>
            <c:strRef>
              <c:f>'[2025届大专毕业生（教学相关）.xlsx]Sheet1'!$A$40:$A$43</c:f>
              <c:strCache>
                <c:ptCount val="4"/>
                <c:pt idx="0">
                  <c:v>安排很好</c:v>
                </c:pt>
                <c:pt idx="1">
                  <c:v>安排较好</c:v>
                </c:pt>
                <c:pt idx="2">
                  <c:v>安排一般</c:v>
                </c:pt>
                <c:pt idx="3">
                  <c:v>安排不好</c:v>
                </c:pt>
              </c:strCache>
            </c:strRef>
          </c:cat>
          <c:val>
            <c:numRef>
              <c:f>'[2025届大专毕业生（教学相关）.xlsx]Sheet1'!$C$40:$C$43</c:f>
              <c:numCache>
                <c:formatCode>0.00%</c:formatCode>
                <c:ptCount val="4"/>
                <c:pt idx="0">
                  <c:v>0.899559823929572</c:v>
                </c:pt>
                <c:pt idx="1">
                  <c:v>0.100440176070428</c:v>
                </c:pt>
                <c:pt idx="2">
                  <c:v>0</c:v>
                </c:pt>
                <c:pt idx="3">
                  <c:v>0</c:v>
                </c:pt>
              </c:numCache>
            </c:numRef>
          </c:val>
          <c:smooth val="0"/>
        </c:ser>
        <c:dLbls>
          <c:showLegendKey val="0"/>
          <c:showVal val="0"/>
          <c:showCatName val="0"/>
          <c:showSerName val="0"/>
          <c:showPercent val="0"/>
          <c:showBubbleSize val="0"/>
        </c:dLbls>
        <c:marker val="0"/>
        <c:smooth val="0"/>
        <c:axId val="1234333199"/>
        <c:axId val="1234324463"/>
      </c:lineChart>
      <c:catAx>
        <c:axId val="1234332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4327375"/>
        <c:crosses val="autoZero"/>
        <c:auto val="1"/>
        <c:lblAlgn val="ctr"/>
        <c:lblOffset val="100"/>
        <c:noMultiLvlLbl val="0"/>
      </c:catAx>
      <c:valAx>
        <c:axId val="12343273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4332783"/>
        <c:crosses val="autoZero"/>
        <c:crossBetween val="between"/>
      </c:valAx>
      <c:catAx>
        <c:axId val="1234333199"/>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4324463"/>
        <c:crosses val="autoZero"/>
        <c:auto val="1"/>
        <c:lblAlgn val="ctr"/>
        <c:lblOffset val="100"/>
        <c:noMultiLvlLbl val="0"/>
      </c:catAx>
      <c:valAx>
        <c:axId val="1234324463"/>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4333199"/>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a6bc541-f020-4a2c-8492-adbde884ed97}"/>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'[2025届大专毕业生（教学相关）.xlsx]Sheet1'!$B$55</c:f>
              <c:strCache>
                <c:ptCount val="1"/>
                <c:pt idx="0">
                  <c:v>人数</c:v>
                </c:pt>
              </c:strCache>
            </c:strRef>
          </c:tx>
          <c:spPr>
            <a:solidFill>
              <a:schemeClr val="accent1"/>
            </a:solidFill>
            <a:ln>
              <a:noFill/>
            </a:ln>
            <a:effectLst/>
          </c:spPr>
          <c:invertIfNegative val="0"/>
          <c:dLbls>
            <c:delete val="1"/>
          </c:dLbls>
          <c:cat>
            <c:strRef>
              <c:f>'[2025届大专毕业生（教学相关）.xlsx]Sheet1'!$A$56:$A$59</c:f>
              <c:strCache>
                <c:ptCount val="4"/>
                <c:pt idx="0">
                  <c:v>非常满意</c:v>
                </c:pt>
                <c:pt idx="1">
                  <c:v>比较满意</c:v>
                </c:pt>
                <c:pt idx="2">
                  <c:v>一般满意</c:v>
                </c:pt>
                <c:pt idx="3">
                  <c:v>不满意</c:v>
                </c:pt>
              </c:strCache>
            </c:strRef>
          </c:cat>
          <c:val>
            <c:numRef>
              <c:f>'[2025届大专毕业生（教学相关）.xlsx]Sheet1'!$B$56:$B$59</c:f>
              <c:numCache>
                <c:formatCode>General</c:formatCode>
                <c:ptCount val="4"/>
                <c:pt idx="0">
                  <c:v>2287</c:v>
                </c:pt>
                <c:pt idx="1">
                  <c:v>212</c:v>
                </c:pt>
                <c:pt idx="2">
                  <c:v>0</c:v>
                </c:pt>
                <c:pt idx="3">
                  <c:v>0</c:v>
                </c:pt>
              </c:numCache>
            </c:numRef>
          </c:val>
        </c:ser>
        <c:dLbls>
          <c:showLegendKey val="0"/>
          <c:showVal val="0"/>
          <c:showCatName val="0"/>
          <c:showSerName val="0"/>
          <c:showPercent val="0"/>
          <c:showBubbleSize val="0"/>
        </c:dLbls>
        <c:gapWidth val="219"/>
        <c:overlap val="-27"/>
        <c:axId val="1351991439"/>
        <c:axId val="1351988943"/>
      </c:barChart>
      <c:lineChart>
        <c:grouping val="standard"/>
        <c:varyColors val="0"/>
        <c:ser>
          <c:idx val="1"/>
          <c:order val="1"/>
          <c:tx>
            <c:strRef>
              <c:f>'[2025届大专毕业生（教学相关）.xlsx]Sheet1'!$C$55</c:f>
              <c:strCache>
                <c:ptCount val="1"/>
                <c:pt idx="0">
                  <c:v>百分比</c:v>
                </c:pt>
              </c:strCache>
            </c:strRef>
          </c:tx>
          <c:spPr>
            <a:ln w="28575" cap="rnd">
              <a:solidFill>
                <a:schemeClr val="accent2"/>
              </a:solidFill>
              <a:round/>
            </a:ln>
            <a:effectLst/>
          </c:spPr>
          <c:marker>
            <c:symbol val="none"/>
          </c:marker>
          <c:dLbls>
            <c:delete val="1"/>
          </c:dLbls>
          <c:cat>
            <c:strRef>
              <c:f>'[2025届大专毕业生（教学相关）.xlsx]Sheet1'!$A$56:$A$59</c:f>
              <c:strCache>
                <c:ptCount val="4"/>
                <c:pt idx="0">
                  <c:v>非常满意</c:v>
                </c:pt>
                <c:pt idx="1">
                  <c:v>比较满意</c:v>
                </c:pt>
                <c:pt idx="2">
                  <c:v>一般满意</c:v>
                </c:pt>
                <c:pt idx="3">
                  <c:v>不满意</c:v>
                </c:pt>
              </c:strCache>
            </c:strRef>
          </c:cat>
          <c:val>
            <c:numRef>
              <c:f>'[2025届大专毕业生（教学相关）.xlsx]Sheet1'!$C$56:$C$59</c:f>
              <c:numCache>
                <c:formatCode>0.00%</c:formatCode>
                <c:ptCount val="4"/>
                <c:pt idx="0">
                  <c:v>0.915166066426571</c:v>
                </c:pt>
                <c:pt idx="1">
                  <c:v>0.0848339335734294</c:v>
                </c:pt>
                <c:pt idx="2">
                  <c:v>0</c:v>
                </c:pt>
                <c:pt idx="3">
                  <c:v>0</c:v>
                </c:pt>
              </c:numCache>
            </c:numRef>
          </c:val>
          <c:smooth val="0"/>
        </c:ser>
        <c:dLbls>
          <c:showLegendKey val="0"/>
          <c:showVal val="0"/>
          <c:showCatName val="0"/>
          <c:showSerName val="0"/>
          <c:showPercent val="0"/>
          <c:showBubbleSize val="0"/>
        </c:dLbls>
        <c:marker val="0"/>
        <c:smooth val="0"/>
        <c:axId val="1351990607"/>
        <c:axId val="1351991855"/>
      </c:lineChart>
      <c:catAx>
        <c:axId val="1351991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51988943"/>
        <c:crosses val="autoZero"/>
        <c:auto val="1"/>
        <c:lblAlgn val="ctr"/>
        <c:lblOffset val="100"/>
        <c:noMultiLvlLbl val="0"/>
      </c:catAx>
      <c:valAx>
        <c:axId val="1351988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51991439"/>
        <c:crosses val="autoZero"/>
        <c:crossBetween val="between"/>
      </c:valAx>
      <c:catAx>
        <c:axId val="1351990607"/>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51991855"/>
        <c:crosses val="autoZero"/>
        <c:auto val="1"/>
        <c:lblAlgn val="ctr"/>
        <c:lblOffset val="100"/>
        <c:noMultiLvlLbl val="0"/>
      </c:catAx>
      <c:valAx>
        <c:axId val="1351991855"/>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51990607"/>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7a24b2c-cf22-45a0-a819-d1672abbb84d}"/>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'[2025届大专毕业生（院系和专业结构统计表）-2.xls]Sheet1'!$C$39:$C$40</c:f>
              <c:strCache>
                <c:ptCount val="1"/>
                <c:pt idx="0">
                  <c:v>专业结构统计表 比例</c:v>
                </c:pt>
              </c:strCache>
            </c:strRef>
          </c:tx>
          <c:spPr>
            <a:solidFill>
              <a:schemeClr val="accent1"/>
            </a:solidFill>
            <a:ln>
              <a:noFill/>
            </a:ln>
            <a:effectLst/>
          </c:spPr>
          <c:invertIfNegative val="0"/>
          <c:dLbls>
            <c:delete val="1"/>
          </c:dLbls>
          <c:cat>
            <c:strRef>
              <c:f>'[2025届大专毕业生（院系和专业结构统计表）-2.xls]Sheet1'!$B$41:$B$69</c:f>
              <c:strCache>
                <c:ptCount val="29"/>
                <c:pt idx="0">
                  <c:v>小学教育</c:v>
                </c:pt>
                <c:pt idx="1">
                  <c:v>学前教育</c:v>
                </c:pt>
                <c:pt idx="2">
                  <c:v>动物医学</c:v>
                </c:pt>
                <c:pt idx="3">
                  <c:v>小学语文教育</c:v>
                </c:pt>
                <c:pt idx="4">
                  <c:v>护理</c:v>
                </c:pt>
                <c:pt idx="5">
                  <c:v>数字媒体技术</c:v>
                </c:pt>
                <c:pt idx="6">
                  <c:v>道路与桥梁工程技术</c:v>
                </c:pt>
                <c:pt idx="7">
                  <c:v>动漫制作技术</c:v>
                </c:pt>
                <c:pt idx="8">
                  <c:v>新能源汽车技术</c:v>
                </c:pt>
                <c:pt idx="9">
                  <c:v>机械制造及自动化</c:v>
                </c:pt>
                <c:pt idx="10">
                  <c:v>汽车制造与试验技术</c:v>
                </c:pt>
                <c:pt idx="11">
                  <c:v>现代移动通信技术</c:v>
                </c:pt>
                <c:pt idx="12">
                  <c:v>大数据与会计</c:v>
                </c:pt>
                <c:pt idx="13">
                  <c:v>畜牧兽医</c:v>
                </c:pt>
                <c:pt idx="14">
                  <c:v>市场营销</c:v>
                </c:pt>
                <c:pt idx="15">
                  <c:v>机电一体化技术</c:v>
                </c:pt>
                <c:pt idx="16">
                  <c:v>宠物医疗技术</c:v>
                </c:pt>
                <c:pt idx="17">
                  <c:v>电子信息工程技术</c:v>
                </c:pt>
                <c:pt idx="18">
                  <c:v>广告艺术设计</c:v>
                </c:pt>
                <c:pt idx="19">
                  <c:v>建筑工程技术</c:v>
                </c:pt>
                <c:pt idx="20">
                  <c:v>工程造价</c:v>
                </c:pt>
                <c:pt idx="21">
                  <c:v>现代文秘</c:v>
                </c:pt>
                <c:pt idx="22">
                  <c:v>园林技术</c:v>
                </c:pt>
                <c:pt idx="23">
                  <c:v>工业机器人技术</c:v>
                </c:pt>
                <c:pt idx="24">
                  <c:v>无人机应用技术</c:v>
                </c:pt>
                <c:pt idx="25">
                  <c:v>酒店管理与数字化运营</c:v>
                </c:pt>
                <c:pt idx="26">
                  <c:v>工程测量技术</c:v>
                </c:pt>
                <c:pt idx="27">
                  <c:v>导游</c:v>
                </c:pt>
                <c:pt idx="28">
                  <c:v>园艺技术</c:v>
                </c:pt>
              </c:strCache>
            </c:strRef>
          </c:cat>
          <c:val>
            <c:numRef>
              <c:f>'[2025届大专毕业生（院系和专业结构统计表）-2.xls]Sheet1'!$C$41:$C$69</c:f>
              <c:numCache>
                <c:formatCode>0.00%</c:formatCode>
                <c:ptCount val="29"/>
                <c:pt idx="0">
                  <c:v>0.1640656262505</c:v>
                </c:pt>
                <c:pt idx="1">
                  <c:v>0.14765906362545</c:v>
                </c:pt>
                <c:pt idx="2">
                  <c:v>0.106442577030812</c:v>
                </c:pt>
                <c:pt idx="3">
                  <c:v>0.0720288115246098</c:v>
                </c:pt>
                <c:pt idx="4">
                  <c:v>0.0716286514605842</c:v>
                </c:pt>
                <c:pt idx="5">
                  <c:v>0.0548219287715086</c:v>
                </c:pt>
                <c:pt idx="6">
                  <c:v>0.0444177671068427</c:v>
                </c:pt>
                <c:pt idx="7">
                  <c:v>0.0432172869147659</c:v>
                </c:pt>
                <c:pt idx="8">
                  <c:v>0.0364145658263305</c:v>
                </c:pt>
                <c:pt idx="9">
                  <c:v>0.0340136054421769</c:v>
                </c:pt>
                <c:pt idx="10">
                  <c:v>0.0292116846738695</c:v>
                </c:pt>
                <c:pt idx="11">
                  <c:v>0.0268107242897159</c:v>
                </c:pt>
                <c:pt idx="12">
                  <c:v>0.0252100840336134</c:v>
                </c:pt>
                <c:pt idx="13">
                  <c:v>0.0212084833933573</c:v>
                </c:pt>
                <c:pt idx="14">
                  <c:v>0.0200080032012805</c:v>
                </c:pt>
                <c:pt idx="15">
                  <c:v>0.0192076830732293</c:v>
                </c:pt>
                <c:pt idx="16">
                  <c:v>0.0116046418567427</c:v>
                </c:pt>
                <c:pt idx="17">
                  <c:v>0.0108043217286915</c:v>
                </c:pt>
                <c:pt idx="18">
                  <c:v>0.00840336134453781</c:v>
                </c:pt>
                <c:pt idx="19">
                  <c:v>0.00760304121648659</c:v>
                </c:pt>
                <c:pt idx="20">
                  <c:v>0.00680272108843537</c:v>
                </c:pt>
                <c:pt idx="21">
                  <c:v>0.00600240096038415</c:v>
                </c:pt>
                <c:pt idx="22">
                  <c:v>0.00560224089635854</c:v>
                </c:pt>
                <c:pt idx="23">
                  <c:v>0.00520208083233293</c:v>
                </c:pt>
                <c:pt idx="24">
                  <c:v>0.00480192076830732</c:v>
                </c:pt>
                <c:pt idx="25">
                  <c:v>0.00440176070428171</c:v>
                </c:pt>
                <c:pt idx="26">
                  <c:v>0.00440176070428171</c:v>
                </c:pt>
                <c:pt idx="27">
                  <c:v>0.00440176070428171</c:v>
                </c:pt>
                <c:pt idx="28">
                  <c:v>0.00360144057623049</c:v>
                </c:pt>
              </c:numCache>
            </c:numRef>
          </c:val>
        </c:ser>
        <c:dLbls>
          <c:showLegendKey val="0"/>
          <c:showVal val="0"/>
          <c:showCatName val="0"/>
          <c:showSerName val="0"/>
          <c:showPercent val="0"/>
          <c:showBubbleSize val="0"/>
        </c:dLbls>
        <c:gapWidth val="219"/>
        <c:overlap val="-27"/>
        <c:axId val="235316984"/>
        <c:axId val="853386389"/>
      </c:barChart>
      <c:catAx>
        <c:axId val="23531698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3386389"/>
        <c:crosses val="autoZero"/>
        <c:auto val="1"/>
        <c:lblAlgn val="ctr"/>
        <c:lblOffset val="100"/>
        <c:noMultiLvlLbl val="0"/>
      </c:catAx>
      <c:valAx>
        <c:axId val="85338638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5316984"/>
        <c:crosses val="autoZero"/>
        <c:crossBetween val="between"/>
      </c:valAx>
      <c:spPr>
        <a:noFill/>
        <a:ln w="3175">
          <a:noFill/>
        </a:ln>
      </c:spPr>
    </c:plotArea>
    <c:plotVisOnly val="1"/>
    <c:dispBlanksAs val="gap"/>
    <c:showDLblsOverMax val="0"/>
    <c:extLst>
      <c:ext uri="{0b15fc19-7d7d-44ad-8c2d-2c3a37ce22c3}">
        <chartProps xmlns="https://web.wps.cn/et/2018/main" chartId="{8f76b955-db49-497a-b82a-bdfee4ffce97}"/>
      </c:ext>
    </c:extLst>
  </c:chart>
  <c:spPr>
    <a:solidFill>
      <a:schemeClr val="bg1"/>
    </a:solidFill>
    <a:ln w="9525" cap="flat" cmpd="sng" algn="ctr">
      <a:no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a:gsLst>
                <a:gs pos="50000">
                  <a:schemeClr val="accent1"/>
                </a:gs>
                <a:gs pos="0">
                  <a:schemeClr val="accent1">
                    <a:lumMod val="25000"/>
                    <a:lumOff val="75000"/>
                  </a:schemeClr>
                </a:gs>
                <a:gs pos="100000">
                  <a:schemeClr val="accent1">
                    <a:lumMod val="85000"/>
                  </a:schemeClr>
                </a:gs>
              </a:gsLst>
              <a:lin ang="5400000" scaled="1"/>
            </a:gradFill>
          </c:spPr>
          <c:invertIfNegative val="0"/>
          <c:dPt>
            <c:idx val="1"/>
            <c:invertIfNegative val="0"/>
            <c:bubble3D val="0"/>
            <c:explosion val="0"/>
            <c:spPr>
              <a:gradFill>
                <a:gsLst>
                  <a:gs pos="50000">
                    <a:schemeClr val="accent1"/>
                  </a:gs>
                  <a:gs pos="0">
                    <a:schemeClr val="accent1">
                      <a:lumMod val="25000"/>
                      <a:lumOff val="75000"/>
                    </a:schemeClr>
                  </a:gs>
                  <a:gs pos="100000">
                    <a:schemeClr val="accent1">
                      <a:lumMod val="85000"/>
                    </a:schemeClr>
                  </a:gs>
                </a:gsLst>
                <a:lin ang="5400000" scaled="1"/>
              </a:gradFill>
            </c:spPr>
          </c:dPt>
          <c:dPt>
            <c:idx val="2"/>
            <c:invertIfNegative val="0"/>
            <c:bubble3D val="0"/>
            <c:explosion val="0"/>
            <c:spPr>
              <a:gradFill>
                <a:gsLst>
                  <a:gs pos="50000">
                    <a:schemeClr val="accent1"/>
                  </a:gs>
                  <a:gs pos="0">
                    <a:schemeClr val="accent1">
                      <a:lumMod val="25000"/>
                      <a:lumOff val="75000"/>
                    </a:schemeClr>
                  </a:gs>
                  <a:gs pos="100000">
                    <a:schemeClr val="accent1">
                      <a:lumMod val="85000"/>
                    </a:schemeClr>
                  </a:gs>
                </a:gsLst>
                <a:lin ang="5400000" scaled="1"/>
              </a:gradFill>
            </c:spPr>
          </c:dPt>
          <c:dPt>
            <c:idx val="3"/>
            <c:invertIfNegative val="0"/>
            <c:bubble3D val="0"/>
            <c:explosion val="0"/>
            <c:spPr>
              <a:gradFill>
                <a:gsLst>
                  <a:gs pos="50000">
                    <a:schemeClr val="accent1"/>
                  </a:gs>
                  <a:gs pos="0">
                    <a:schemeClr val="accent1">
                      <a:lumMod val="25000"/>
                      <a:lumOff val="75000"/>
                    </a:schemeClr>
                  </a:gs>
                  <a:gs pos="100000">
                    <a:schemeClr val="accent1">
                      <a:lumMod val="85000"/>
                    </a:schemeClr>
                  </a:gs>
                </a:gsLst>
                <a:lin ang="5400000" scaled="1"/>
              </a:gradFill>
            </c:spPr>
          </c:dPt>
          <c:dPt>
            <c:idx val="4"/>
            <c:invertIfNegative val="0"/>
            <c:bubble3D val="0"/>
            <c:explosion val="0"/>
            <c:spPr>
              <a:gradFill>
                <a:gsLst>
                  <a:gs pos="50000">
                    <a:schemeClr val="accent1"/>
                  </a:gs>
                  <a:gs pos="0">
                    <a:schemeClr val="accent1">
                      <a:lumMod val="25000"/>
                      <a:lumOff val="75000"/>
                    </a:schemeClr>
                  </a:gs>
                  <a:gs pos="100000">
                    <a:schemeClr val="accent1">
                      <a:lumMod val="85000"/>
                    </a:schemeClr>
                  </a:gs>
                </a:gsLst>
                <a:lin ang="5400000" scaled="1"/>
              </a:gradFill>
            </c:spPr>
          </c:dPt>
          <c:dPt>
            <c:idx val="5"/>
            <c:invertIfNegative val="0"/>
            <c:bubble3D val="0"/>
            <c:explosion val="0"/>
            <c:spPr>
              <a:gradFill>
                <a:gsLst>
                  <a:gs pos="50000">
                    <a:schemeClr val="accent1"/>
                  </a:gs>
                  <a:gs pos="0">
                    <a:schemeClr val="accent1">
                      <a:lumMod val="25000"/>
                      <a:lumOff val="75000"/>
                    </a:schemeClr>
                  </a:gs>
                  <a:gs pos="100000">
                    <a:schemeClr val="accent1">
                      <a:lumMod val="85000"/>
                    </a:schemeClr>
                  </a:gs>
                </a:gsLst>
                <a:lin ang="5400000" scaled="1"/>
              </a:gradFill>
            </c:spPr>
          </c:dPt>
          <c:dPt>
            <c:idx val="6"/>
            <c:invertIfNegative val="0"/>
            <c:bubble3D val="0"/>
            <c:explosion val="0"/>
            <c:spPr>
              <a:gradFill>
                <a:gsLst>
                  <a:gs pos="50000">
                    <a:schemeClr val="accent1"/>
                  </a:gs>
                  <a:gs pos="0">
                    <a:schemeClr val="accent1">
                      <a:lumMod val="25000"/>
                      <a:lumOff val="75000"/>
                    </a:schemeClr>
                  </a:gs>
                  <a:gs pos="100000">
                    <a:schemeClr val="accent1">
                      <a:lumMod val="85000"/>
                    </a:schemeClr>
                  </a:gs>
                </a:gsLst>
                <a:lin ang="5400000" scaled="1"/>
              </a:gradFill>
            </c:spPr>
          </c:dPt>
          <c:dPt>
            <c:idx val="7"/>
            <c:invertIfNegative val="0"/>
            <c:bubble3D val="0"/>
            <c:explosion val="0"/>
            <c:spPr>
              <a:gradFill>
                <a:gsLst>
                  <a:gs pos="50000">
                    <a:schemeClr val="accent1"/>
                  </a:gs>
                  <a:gs pos="0">
                    <a:schemeClr val="accent1">
                      <a:lumMod val="25000"/>
                      <a:lumOff val="75000"/>
                    </a:schemeClr>
                  </a:gs>
                  <a:gs pos="100000">
                    <a:schemeClr val="accent1">
                      <a:lumMod val="85000"/>
                    </a:schemeClr>
                  </a:gs>
                </a:gsLst>
                <a:lin ang="5400000" scaled="1"/>
              </a:gradFill>
            </c:spPr>
          </c:dPt>
          <c:dPt>
            <c:idx val="8"/>
            <c:invertIfNegative val="0"/>
            <c:bubble3D val="0"/>
            <c:explosion val="0"/>
            <c:spPr>
              <a:gradFill>
                <a:gsLst>
                  <a:gs pos="50000">
                    <a:schemeClr val="accent1"/>
                  </a:gs>
                  <a:gs pos="0">
                    <a:schemeClr val="accent1">
                      <a:lumMod val="25000"/>
                      <a:lumOff val="75000"/>
                    </a:schemeClr>
                  </a:gs>
                  <a:gs pos="100000">
                    <a:schemeClr val="accent1">
                      <a:lumMod val="85000"/>
                    </a:schemeClr>
                  </a:gs>
                </a:gsLst>
                <a:lin ang="5400000" scaled="1"/>
              </a:gradFill>
            </c:spPr>
          </c:dPt>
          <c:dLbls>
            <c:dLbl>
              <c:idx val="0"/>
              <c:layout/>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Calibri" panose="020F0502020204030204" pitchFamily="2" charset="0"/>
                      <a:ea typeface="Calibri" panose="020F0502020204030204" pitchFamily="2" charset="0"/>
                      <a:cs typeface="Calibri" panose="020F0502020204030204" pitchFamily="2" charset="0"/>
                    </a:defRPr>
                  </a:pPr>
                </a:p>
              </c:txPr>
              <c:dLblPos val="outEnd"/>
              <c:showLegendKey val="1"/>
              <c:showVal val="1"/>
              <c:showCatName val="0"/>
              <c:showSerName val="0"/>
              <c:showPercent val="0"/>
              <c:showBubbleSize val="0"/>
              <c:extLst>
                <c:ext xmlns:c15="http://schemas.microsoft.com/office/drawing/2012/chart" uri="{CE6537A1-D6FC-4f65-9D91-7224C49458BB}"/>
              </c:extLst>
            </c:dLbl>
            <c:dLbl>
              <c:idx val="1"/>
              <c:layout/>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1"/>
              <c:showVal val="1"/>
              <c:showCatName val="0"/>
              <c:showSerName val="0"/>
              <c:showPercent val="0"/>
              <c:showBubbleSize val="0"/>
              <c:extLst>
                <c:ext xmlns:c15="http://schemas.microsoft.com/office/drawing/2012/chart" uri="{CE6537A1-D6FC-4f65-9D91-7224C49458BB}"/>
              </c:extLst>
            </c:dLbl>
            <c:numFmt formatCode="General" sourceLinked="0"/>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1"/>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multiLvlStrRef>
              <c:f>'[2025届大专毕业生（总体就业率）-1.xls]Sheet1'!$A$3:$D$13</c:f>
              <c:multiLvlStrCache>
                <c:ptCount val="11"/>
                <c:lvl>
                  <c:pt idx="0">
                    <c:v>签就业协议形式就业</c:v>
                  </c:pt>
                  <c:pt idx="1">
                    <c:v>签劳动合同形式就业</c:v>
                  </c:pt>
                  <c:pt idx="2">
                    <c:v>其他录用形式就业</c:v>
                  </c:pt>
                  <c:pt idx="3">
                    <c:v>应征义务兵</c:v>
                  </c:pt>
                  <c:pt idx="4">
                    <c:v>国家项目</c:v>
                  </c:pt>
                  <c:pt idx="5">
                    <c:v>自由职业</c:v>
                  </c:pt>
                  <c:pt idx="6">
                    <c:v>自主创业</c:v>
                  </c:pt>
                  <c:pt idx="7">
                    <c:v>升学</c:v>
                  </c:pt>
                  <c:pt idx="8">
                    <c:v>出国</c:v>
                  </c:pt>
                  <c:pt idx="9">
                    <c:v>暂不就业</c:v>
                  </c:pt>
                  <c:pt idx="10">
                    <c:v>待就业</c:v>
                  </c:pt>
                </c:lvl>
                <c:lvl>
                  <c:pt idx="0" c:formatCode="0.00%">
                    <c:v>71.79%</c:v>
                  </c:pt>
                  <c:pt idx="5" c:formatCode="0.00%">
                    <c:v>0.12%</c:v>
                  </c:pt>
                  <c:pt idx="6" c:formatCode="0.00%">
                    <c:v>0.12%</c:v>
                  </c:pt>
                  <c:pt idx="7" c:formatCode="0.00%">
                    <c:v>11.68%</c:v>
                  </c:pt>
                  <c:pt idx="9" c:formatCode="0.00%">
                    <c:v>16.25%</c:v>
                  </c:pt>
                </c:lvl>
                <c:lvl>
                  <c:pt idx="0">
                    <c:v>1794</c:v>
                  </c:pt>
                  <c:pt idx="5">
                    <c:v>4</c:v>
                  </c:pt>
                  <c:pt idx="6">
                    <c:v>3</c:v>
                  </c:pt>
                  <c:pt idx="7">
                    <c:v>292</c:v>
                  </c:pt>
                  <c:pt idx="9">
                    <c:v>406</c:v>
                  </c:pt>
                </c:lvl>
                <c:lvl>
                  <c:pt idx="0">
                    <c:v>单位就业 </c:v>
                  </c:pt>
                  <c:pt idx="5">
                    <c:v>自由职业</c:v>
                  </c:pt>
                  <c:pt idx="6">
                    <c:v>自主创业</c:v>
                  </c:pt>
                  <c:pt idx="7">
                    <c:v>升学</c:v>
                  </c:pt>
                  <c:pt idx="9">
                    <c:v>未就业</c:v>
                  </c:pt>
                </c:lvl>
              </c:multiLvlStrCache>
            </c:multiLvlStrRef>
          </c:cat>
          <c:val>
            <c:numRef>
              <c:f>'[2025届大专毕业生（总体就业率）-1.xls]Sheet1'!$E$3:$E$13</c:f>
              <c:numCache>
                <c:formatCode>General</c:formatCode>
                <c:ptCount val="11"/>
                <c:pt idx="0">
                  <c:v>1686</c:v>
                </c:pt>
                <c:pt idx="1">
                  <c:v>27</c:v>
                </c:pt>
                <c:pt idx="2">
                  <c:v>46</c:v>
                </c:pt>
                <c:pt idx="3">
                  <c:v>34</c:v>
                </c:pt>
                <c:pt idx="4">
                  <c:v>1</c:v>
                </c:pt>
                <c:pt idx="5">
                  <c:v>4</c:v>
                </c:pt>
                <c:pt idx="6">
                  <c:v>3</c:v>
                </c:pt>
                <c:pt idx="7">
                  <c:v>291</c:v>
                </c:pt>
                <c:pt idx="8">
                  <c:v>1</c:v>
                </c:pt>
                <c:pt idx="9">
                  <c:v>13</c:v>
                </c:pt>
                <c:pt idx="10">
                  <c:v>393</c:v>
                </c:pt>
              </c:numCache>
            </c:numRef>
          </c:val>
        </c:ser>
        <c:dLbls>
          <c:showLegendKey val="0"/>
          <c:showVal val="0"/>
          <c:showCatName val="0"/>
          <c:showSerName val="0"/>
          <c:showPercent val="0"/>
          <c:showBubbleSize val="0"/>
        </c:dLbls>
        <c:gapWidth val="150"/>
        <c:overlap val="0"/>
        <c:axId val="451519105"/>
        <c:axId val="632154905"/>
      </c:barChart>
      <c:catAx>
        <c:axId val="451519105"/>
        <c:scaling>
          <c:orientation val="minMax"/>
        </c:scaling>
        <c:delete val="0"/>
        <c:axPos val="b"/>
        <c:majorTickMark val="out"/>
        <c:minorTickMark val="none"/>
        <c:tickLblPos val="nextTo"/>
        <c:txPr>
          <a:bodyPr rot="-54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632154905"/>
        <c:crosses val="autoZero"/>
        <c:auto val="1"/>
        <c:lblAlgn val="ctr"/>
        <c:lblOffset val="100"/>
        <c:noMultiLvlLbl val="0"/>
      </c:catAx>
      <c:valAx>
        <c:axId val="632154905"/>
        <c:scaling>
          <c:orientation val="minMax"/>
        </c:scaling>
        <c:delete val="0"/>
        <c:axPos val="l"/>
        <c:majorGridlines/>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451519105"/>
        <c:crosses val="autoZero"/>
        <c:crossBetween val="between"/>
      </c:valAx>
    </c:plotArea>
    <c:plotVisOnly val="1"/>
    <c:dispBlanksAs val="gap"/>
    <c:showDLblsOverMax val="0"/>
    <c:extLst>
      <c:ext uri="{0b15fc19-7d7d-44ad-8c2d-2c3a37ce22c3}">
        <chartProps xmlns="https://web.wps.cn/et/2018/main" chartId="{1e151eaa-d88d-4fde-8516-f082b0ade513}"/>
      </c:ext>
    </c:extLst>
  </c:chart>
  <c:spPr>
    <a:ln w="9525" cap="flat" cmpd="sng" algn="ctr">
      <a:noFill/>
      <a:prstDash val="solid"/>
      <a:round/>
    </a:ln>
  </c:spPr>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5B9BD5">
                <a:lumMod val="75000"/>
              </a:srgbClr>
            </a:soli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'[2025届大专毕业生（各系的就业率）-7.xlsx]Sheet1'!$B$3:$B$11</c:f>
              <c:strCache>
                <c:ptCount val="9"/>
                <c:pt idx="0">
                  <c:v>学前教育系</c:v>
                </c:pt>
                <c:pt idx="1">
                  <c:v>装备制造系</c:v>
                </c:pt>
                <c:pt idx="2">
                  <c:v>文化旅游系</c:v>
                </c:pt>
                <c:pt idx="3">
                  <c:v>小学教育系</c:v>
                </c:pt>
                <c:pt idx="4">
                  <c:v>财经商贸系</c:v>
                </c:pt>
                <c:pt idx="5">
                  <c:v>电子信息系</c:v>
                </c:pt>
                <c:pt idx="6">
                  <c:v>卫生健康学院</c:v>
                </c:pt>
                <c:pt idx="7">
                  <c:v>农牧系</c:v>
                </c:pt>
                <c:pt idx="8">
                  <c:v>公路建筑工程系</c:v>
                </c:pt>
              </c:strCache>
            </c:strRef>
          </c:cat>
          <c:val>
            <c:numRef>
              <c:f>'[2025届大专毕业生（各系的就业率）-7.xlsx]Sheet1'!$C$3:$C$11</c:f>
              <c:numCache>
                <c:formatCode>0.00%</c:formatCode>
                <c:ptCount val="9"/>
                <c:pt idx="0">
                  <c:v>0.8808</c:v>
                </c:pt>
                <c:pt idx="1">
                  <c:v>0.8913</c:v>
                </c:pt>
                <c:pt idx="2">
                  <c:v>0.8793</c:v>
                </c:pt>
                <c:pt idx="3">
                  <c:v>0.7051</c:v>
                </c:pt>
                <c:pt idx="4">
                  <c:v>0.885</c:v>
                </c:pt>
                <c:pt idx="5">
                  <c:v>0.882</c:v>
                </c:pt>
                <c:pt idx="6">
                  <c:v>0.8268</c:v>
                </c:pt>
                <c:pt idx="7">
                  <c:v>0.876</c:v>
                </c:pt>
                <c:pt idx="8">
                  <c:v>0.8987</c:v>
                </c:pt>
              </c:numCache>
            </c:numRef>
          </c:val>
        </c:ser>
        <c:dLbls>
          <c:showLegendKey val="0"/>
          <c:showVal val="1"/>
          <c:showCatName val="0"/>
          <c:showSerName val="0"/>
          <c:showPercent val="0"/>
          <c:showBubbleSize val="0"/>
        </c:dLbls>
        <c:gapWidth val="246"/>
        <c:overlap val="-28"/>
        <c:axId val="82229888"/>
        <c:axId val="180658560"/>
      </c:barChart>
      <c:catAx>
        <c:axId val="82229888"/>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180658560"/>
        <c:crosses val="autoZero"/>
        <c:auto val="1"/>
        <c:lblAlgn val="ctr"/>
        <c:lblOffset val="100"/>
        <c:noMultiLvlLbl val="0"/>
      </c:catAx>
      <c:valAx>
        <c:axId val="180658560"/>
        <c:scaling>
          <c:orientation val="minMax"/>
        </c:scaling>
        <c:delete val="0"/>
        <c:axPos val="l"/>
        <c:majorGridlines>
          <c:spPr>
            <a:ln w="6350" cap="flat" cmpd="sng" algn="ctr">
              <a:solidFill>
                <a:schemeClr val="tx1">
                  <a:lumMod val="50000"/>
                  <a:lumOff val="50000"/>
                  <a:alpha val="2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82229888"/>
        <c:crosses val="autoZero"/>
        <c:crossBetween val="between"/>
      </c:valAx>
      <c:spPr>
        <a:noFill/>
        <a:ln>
          <a:noFill/>
        </a:ln>
        <a:effectLst/>
      </c:spPr>
    </c:plotArea>
    <c:plotVisOnly val="1"/>
    <c:dispBlanksAs val="gap"/>
    <c:showDLblsOverMax val="0"/>
    <c:extLst>
      <c:ext uri="{0b15fc19-7d7d-44ad-8c2d-2c3a37ce22c3}">
        <chartProps xmlns="https://web.wps.cn/et/2018/main" chartId="{dfdb1481-86a4-4e48-bc83-c7c78e41182d}"/>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6941783345615"/>
          <c:y val="0.0174603174603175"/>
          <c:w val="0.663139277818718"/>
          <c:h val="0.965079365079365"/>
        </c:manualLayout>
      </c:layout>
      <c:barChart>
        <c:barDir val="bar"/>
        <c:grouping val="clustered"/>
        <c:varyColors val="0"/>
        <c:ser>
          <c:idx val="0"/>
          <c:order val="0"/>
          <c:tx>
            <c:strRef>
              <c:f>'[2025届大专毕业生（各专业的就业率）-8.xlsx]Sheet1'!$B$2</c:f>
              <c:strCache>
                <c:ptCount val="1"/>
                <c:pt idx="0">
                  <c:v>毕业去向落实率</c:v>
                </c:pt>
              </c:strCache>
            </c:strRef>
          </c:tx>
          <c:spPr>
            <a:gradFill>
              <a:gsLst>
                <a:gs pos="64000">
                  <a:srgbClr val="5B9BD5">
                    <a:lumMod val="75000"/>
                  </a:srgbClr>
                </a:gs>
                <a:gs pos="30000">
                  <a:schemeClr val="accent1">
                    <a:lumMod val="25000"/>
                    <a:lumOff val="75000"/>
                  </a:schemeClr>
                </a:gs>
                <a:gs pos="94000">
                  <a:schemeClr val="accent1">
                    <a:lumMod val="85000"/>
                  </a:schemeClr>
                </a:gs>
              </a:gsLst>
              <a:lin ang="5400000" scaled="1"/>
            </a:gra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'[2025届大专毕业生（各专业的就业率）-8.xlsx]Sheet1'!$A$3:$A$31</c:f>
              <c:strCache>
                <c:ptCount val="29"/>
                <c:pt idx="0">
                  <c:v>工程测量技术</c:v>
                </c:pt>
                <c:pt idx="1">
                  <c:v>工程造价</c:v>
                </c:pt>
                <c:pt idx="2">
                  <c:v>机电一体化技术</c:v>
                </c:pt>
                <c:pt idx="3">
                  <c:v>新能源汽车技术</c:v>
                </c:pt>
                <c:pt idx="4">
                  <c:v>畜牧兽医</c:v>
                </c:pt>
                <c:pt idx="5">
                  <c:v>数字媒体技术</c:v>
                </c:pt>
                <c:pt idx="6">
                  <c:v>电子信息工程技术</c:v>
                </c:pt>
                <c:pt idx="7">
                  <c:v>工业机器人技术</c:v>
                </c:pt>
                <c:pt idx="8">
                  <c:v>现代移动通信技术</c:v>
                </c:pt>
                <c:pt idx="9">
                  <c:v>导游</c:v>
                </c:pt>
                <c:pt idx="10">
                  <c:v>广告艺术设计</c:v>
                </c:pt>
                <c:pt idx="11">
                  <c:v>市场营销</c:v>
                </c:pt>
                <c:pt idx="12">
                  <c:v>建筑工程技术</c:v>
                </c:pt>
                <c:pt idx="13">
                  <c:v>园艺技术</c:v>
                </c:pt>
                <c:pt idx="14">
                  <c:v>学前教育</c:v>
                </c:pt>
                <c:pt idx="15">
                  <c:v>动物医学</c:v>
                </c:pt>
                <c:pt idx="16">
                  <c:v>道路与桥梁工程技术</c:v>
                </c:pt>
                <c:pt idx="17">
                  <c:v>大数据与会计</c:v>
                </c:pt>
                <c:pt idx="18">
                  <c:v>现代文秘</c:v>
                </c:pt>
                <c:pt idx="19">
                  <c:v>小学语文教育</c:v>
                </c:pt>
                <c:pt idx="20">
                  <c:v>机械制造及自动化</c:v>
                </c:pt>
                <c:pt idx="21">
                  <c:v>汽车制造与试验技术</c:v>
                </c:pt>
                <c:pt idx="22">
                  <c:v>护理</c:v>
                </c:pt>
                <c:pt idx="23">
                  <c:v>酒店管理与数字化运营</c:v>
                </c:pt>
                <c:pt idx="24">
                  <c:v>动漫制作技术</c:v>
                </c:pt>
                <c:pt idx="25">
                  <c:v>园林技术</c:v>
                </c:pt>
                <c:pt idx="26">
                  <c:v>宠物医疗技术</c:v>
                </c:pt>
                <c:pt idx="27">
                  <c:v>无人机应用技术</c:v>
                </c:pt>
                <c:pt idx="28">
                  <c:v>小学教育</c:v>
                </c:pt>
              </c:strCache>
            </c:strRef>
          </c:cat>
          <c:val>
            <c:numRef>
              <c:f>'[2025届大专毕业生（各专业的就业率）-8.xlsx]Sheet1'!$B$3:$B$31</c:f>
              <c:numCache>
                <c:formatCode>0.00%</c:formatCode>
                <c:ptCount val="29"/>
                <c:pt idx="0">
                  <c:v>1</c:v>
                </c:pt>
                <c:pt idx="1">
                  <c:v>1</c:v>
                </c:pt>
                <c:pt idx="2">
                  <c:v>0.9583</c:v>
                </c:pt>
                <c:pt idx="3">
                  <c:v>0.9451</c:v>
                </c:pt>
                <c:pt idx="4">
                  <c:v>0.9434</c:v>
                </c:pt>
                <c:pt idx="5">
                  <c:v>0.927</c:v>
                </c:pt>
                <c:pt idx="6">
                  <c:v>0.9259</c:v>
                </c:pt>
                <c:pt idx="7">
                  <c:v>0.9231</c:v>
                </c:pt>
                <c:pt idx="8">
                  <c:v>0.9104</c:v>
                </c:pt>
                <c:pt idx="9">
                  <c:v>0.9091</c:v>
                </c:pt>
                <c:pt idx="10">
                  <c:v>0.9048</c:v>
                </c:pt>
                <c:pt idx="11">
                  <c:v>0.9</c:v>
                </c:pt>
                <c:pt idx="12">
                  <c:v>0.8947</c:v>
                </c:pt>
                <c:pt idx="13">
                  <c:v>0.8889</c:v>
                </c:pt>
                <c:pt idx="14">
                  <c:v>0.8808</c:v>
                </c:pt>
                <c:pt idx="15">
                  <c:v>0.8797</c:v>
                </c:pt>
                <c:pt idx="16">
                  <c:v>0.8739</c:v>
                </c:pt>
                <c:pt idx="17">
                  <c:v>0.873</c:v>
                </c:pt>
                <c:pt idx="18">
                  <c:v>0.8667</c:v>
                </c:pt>
                <c:pt idx="19">
                  <c:v>0.8611</c:v>
                </c:pt>
                <c:pt idx="20">
                  <c:v>0.8588</c:v>
                </c:pt>
                <c:pt idx="21">
                  <c:v>0.8356</c:v>
                </c:pt>
                <c:pt idx="22">
                  <c:v>0.8268</c:v>
                </c:pt>
                <c:pt idx="23">
                  <c:v>0.8182</c:v>
                </c:pt>
                <c:pt idx="24">
                  <c:v>0.7963</c:v>
                </c:pt>
                <c:pt idx="25">
                  <c:v>0.7857</c:v>
                </c:pt>
                <c:pt idx="26">
                  <c:v>0.7586</c:v>
                </c:pt>
                <c:pt idx="27">
                  <c:v>0.75</c:v>
                </c:pt>
                <c:pt idx="28">
                  <c:v>0.6366</c:v>
                </c:pt>
              </c:numCache>
            </c:numRef>
          </c:val>
        </c:ser>
        <c:dLbls>
          <c:showLegendKey val="0"/>
          <c:showVal val="1"/>
          <c:showCatName val="0"/>
          <c:showSerName val="0"/>
          <c:showPercent val="0"/>
          <c:showBubbleSize val="0"/>
        </c:dLbls>
        <c:gapWidth val="140"/>
        <c:overlap val="-40"/>
        <c:axId val="751686182"/>
        <c:axId val="617772416"/>
      </c:barChart>
      <c:catAx>
        <c:axId val="751686182"/>
        <c:scaling>
          <c:orientation val="minMax"/>
        </c:scaling>
        <c:delete val="0"/>
        <c:axPos val="l"/>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617772416"/>
        <c:crosses val="autoZero"/>
        <c:auto val="1"/>
        <c:lblAlgn val="ctr"/>
        <c:lblOffset val="100"/>
        <c:noMultiLvlLbl val="0"/>
      </c:catAx>
      <c:valAx>
        <c:axId val="617772416"/>
        <c:scaling>
          <c:orientation val="minMax"/>
        </c:scaling>
        <c:delete val="1"/>
        <c:axPos val="b"/>
        <c:majorGridlines>
          <c:spPr>
            <a:ln w="9525" cap="flat" cmpd="sng" algn="ctr">
              <a:solidFill>
                <a:schemeClr val="tx1">
                  <a:lumMod val="50000"/>
                  <a:lumOff val="50000"/>
                  <a:alpha val="40000"/>
                </a:schemeClr>
              </a:solidFill>
              <a:round/>
            </a:ln>
            <a:effectLst/>
          </c:spPr>
        </c:majorGridlines>
        <c:numFmt formatCode="0.00%" sourceLinked="1"/>
        <c:majorTickMark val="none"/>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751686182"/>
        <c:crosses val="autoZero"/>
        <c:crossBetween val="between"/>
      </c:valAx>
      <c:spPr>
        <a:noFill/>
        <a:ln>
          <a:noFill/>
        </a:ln>
        <a:effectLst/>
      </c:spPr>
    </c:plotArea>
    <c:plotVisOnly val="1"/>
    <c:dispBlanksAs val="gap"/>
    <c:showDLblsOverMax val="0"/>
    <c:extLst>
      <c:ext uri="{0b15fc19-7d7d-44ad-8c2d-2c3a37ce22c3}">
        <chartProps xmlns="https://web.wps.cn/et/2018/main" chartId="{2557a96e-fcb5-463a-9141-0800daf0b9a6}"/>
      </c:ext>
    </c:extLst>
  </c:chart>
  <c:spPr>
    <a:solidFill>
      <a:schemeClr val="bg1"/>
    </a:solidFill>
    <a:ln w="6350" cap="flat" cmpd="sng" algn="ctr">
      <a:noFill/>
      <a:round/>
    </a:ln>
    <a:effectLst/>
  </c:spPr>
  <c:txPr>
    <a:bodyPr/>
    <a:lstStyle/>
    <a:p>
      <a:pPr>
        <a:defRPr lang="zh-CN" b="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02044565206992"/>
          <c:y val="0.145957499620779"/>
          <c:w val="0.887393761381285"/>
          <c:h val="0.449051486777813"/>
        </c:manualLayout>
      </c:layout>
      <c:barChart>
        <c:barDir val="col"/>
        <c:grouping val="stacked"/>
        <c:varyColors val="0"/>
        <c:ser>
          <c:idx val="0"/>
          <c:order val="0"/>
          <c:spPr>
            <a:solidFill>
              <a:schemeClr val="accent1">
                <a:lumMod val="75000"/>
              </a:schemeClr>
            </a:solidFill>
          </c:spPr>
          <c:invertIfNegative val="0"/>
          <c:dPt>
            <c:idx val="0"/>
            <c:invertIfNegative val="0"/>
            <c:bubble3D val="0"/>
            <c:explosion val="0"/>
            <c:spPr>
              <a:solidFill>
                <a:schemeClr val="accent1">
                  <a:lumMod val="75000"/>
                </a:schemeClr>
              </a:solidFill>
            </c:spPr>
          </c:dPt>
          <c:dPt>
            <c:idx val="1"/>
            <c:invertIfNegative val="0"/>
            <c:bubble3D val="0"/>
            <c:explosion val="0"/>
            <c:spPr>
              <a:solidFill>
                <a:schemeClr val="accent1">
                  <a:lumMod val="75000"/>
                </a:schemeClr>
              </a:solidFill>
            </c:spPr>
          </c:dPt>
          <c:dPt>
            <c:idx val="2"/>
            <c:invertIfNegative val="0"/>
            <c:bubble3D val="0"/>
            <c:explosion val="0"/>
            <c:spPr>
              <a:solidFill>
                <a:schemeClr val="accent1">
                  <a:lumMod val="75000"/>
                </a:schemeClr>
              </a:solidFill>
            </c:spPr>
          </c:dPt>
          <c:dLbls>
            <c:dLbl>
              <c:idx val="0"/>
              <c:layout>
                <c:manualLayout>
                  <c:x val="0.00136655153828736"/>
                  <c:y val="-0.2304429196830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12450448554198"/>
                  <c:y val="-0.19512823612979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238928359462168"/>
                  <c:y val="-0.226667242074662"/>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'[2025届毕业生（未就业情况分析）总.xls]Sheet1'!$M$3:$O$3</c:f>
              <c:strCache>
                <c:ptCount val="3"/>
                <c:pt idx="0">
                  <c:v>不就业拟升学</c:v>
                </c:pt>
                <c:pt idx="1">
                  <c:v>拟应征入伍</c:v>
                </c:pt>
                <c:pt idx="2">
                  <c:v>求职中</c:v>
                </c:pt>
              </c:strCache>
            </c:strRef>
          </c:cat>
          <c:val>
            <c:numRef>
              <c:f>'[2025届毕业生（未就业情况分析）总.xls]Sheet1'!$M$4:$O$4</c:f>
              <c:numCache>
                <c:formatCode>0.00%</c:formatCode>
                <c:ptCount val="3"/>
                <c:pt idx="0">
                  <c:v>0.0320197044334975</c:v>
                </c:pt>
                <c:pt idx="1">
                  <c:v>0.00246305418719212</c:v>
                </c:pt>
                <c:pt idx="2">
                  <c:v>0.96551724137931</c:v>
                </c:pt>
              </c:numCache>
            </c:numRef>
          </c:val>
        </c:ser>
        <c:dLbls>
          <c:showLegendKey val="0"/>
          <c:showVal val="0"/>
          <c:showCatName val="0"/>
          <c:showSerName val="0"/>
          <c:showPercent val="0"/>
          <c:showBubbleSize val="0"/>
        </c:dLbls>
        <c:gapWidth val="55"/>
        <c:overlap val="100"/>
        <c:axId val="584510364"/>
        <c:axId val="716729620"/>
      </c:barChart>
      <c:catAx>
        <c:axId val="584510364"/>
        <c:scaling>
          <c:orientation val="minMax"/>
        </c:scaling>
        <c:delete val="0"/>
        <c:axPos val="b"/>
        <c:majorTickMark val="none"/>
        <c:minorTickMark val="none"/>
        <c:tickLblPos val="nextTo"/>
        <c:txPr>
          <a:bodyPr rot="-54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716729620"/>
        <c:crosses val="autoZero"/>
        <c:auto val="1"/>
        <c:lblAlgn val="ctr"/>
        <c:lblOffset val="100"/>
        <c:noMultiLvlLbl val="0"/>
      </c:catAx>
      <c:valAx>
        <c:axId val="716729620"/>
        <c:scaling>
          <c:orientation val="minMax"/>
        </c:scaling>
        <c:delete val="0"/>
        <c:axPos val="l"/>
        <c:majorGridlines/>
        <c:numFmt formatCode="0.00%" sourceLinked="1"/>
        <c:majorTickMark val="none"/>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584510364"/>
        <c:crosses val="autoZero"/>
        <c:crossBetween val="between"/>
      </c:valAx>
      <c:spPr>
        <a:solidFill>
          <a:srgbClr val="FFFFFF">
            <a:alpha val="100000"/>
          </a:srgbClr>
        </a:solidFill>
        <a:ln w="3175">
          <a:noFill/>
        </a:ln>
      </c:spPr>
    </c:plotArea>
    <c:plotVisOnly val="1"/>
    <c:dispBlanksAs val="gap"/>
    <c:showDLblsOverMax val="0"/>
    <c:extLst>
      <c:ext uri="{0b15fc19-7d7d-44ad-8c2d-2c3a37ce22c3}">
        <chartProps xmlns="https://web.wps.cn/et/2018/main" chartId="{856df7e7-8c96-4466-9cda-448c7059c670}"/>
      </c:ext>
    </c:extLst>
  </c:chart>
  <c:spPr>
    <a:noFill/>
    <a:ln w="9525" cap="flat" cmpd="sng" algn="ctr">
      <a:noFill/>
      <a:prstDash val="solid"/>
      <a:round/>
    </a:ln>
  </c:spPr>
  <c:txPr>
    <a:bodyPr rot="0" wrap="square" anchor="ctr" anchorCtr="1"/>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75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'[2025届大专毕业生（就业地区流向）-17.xls]Sheet1'!$A$6:$A$19</c:f>
              <c:strCache>
                <c:ptCount val="14"/>
                <c:pt idx="0">
                  <c:v>沈阳市</c:v>
                </c:pt>
                <c:pt idx="1">
                  <c:v>大连市</c:v>
                </c:pt>
                <c:pt idx="2">
                  <c:v>鞍山市</c:v>
                </c:pt>
                <c:pt idx="3">
                  <c:v>抚顺市</c:v>
                </c:pt>
                <c:pt idx="4">
                  <c:v>本溪市</c:v>
                </c:pt>
                <c:pt idx="5">
                  <c:v>丹东市</c:v>
                </c:pt>
                <c:pt idx="6">
                  <c:v>锦州市</c:v>
                </c:pt>
                <c:pt idx="7">
                  <c:v>营口市</c:v>
                </c:pt>
                <c:pt idx="8">
                  <c:v>阜新市</c:v>
                </c:pt>
                <c:pt idx="9">
                  <c:v>辽阳市</c:v>
                </c:pt>
                <c:pt idx="10">
                  <c:v>盘锦市</c:v>
                </c:pt>
                <c:pt idx="11">
                  <c:v>铁岭市</c:v>
                </c:pt>
                <c:pt idx="12">
                  <c:v>朝阳市</c:v>
                </c:pt>
                <c:pt idx="13">
                  <c:v>葫芦岛市</c:v>
                </c:pt>
              </c:strCache>
            </c:strRef>
          </c:cat>
          <c:val>
            <c:numRef>
              <c:f>'[2025届大专毕业生（就业地区流向）-17.xls]Sheet1'!$B$6:$B$19</c:f>
              <c:numCache>
                <c:formatCode>General</c:formatCode>
                <c:ptCount val="14"/>
                <c:pt idx="0">
                  <c:v>412</c:v>
                </c:pt>
                <c:pt idx="1">
                  <c:v>124</c:v>
                </c:pt>
                <c:pt idx="2">
                  <c:v>72</c:v>
                </c:pt>
                <c:pt idx="3">
                  <c:v>13</c:v>
                </c:pt>
                <c:pt idx="4">
                  <c:v>36</c:v>
                </c:pt>
                <c:pt idx="5">
                  <c:v>65</c:v>
                </c:pt>
                <c:pt idx="6">
                  <c:v>73</c:v>
                </c:pt>
                <c:pt idx="7">
                  <c:v>18</c:v>
                </c:pt>
                <c:pt idx="8">
                  <c:v>418</c:v>
                </c:pt>
                <c:pt idx="9">
                  <c:v>28</c:v>
                </c:pt>
                <c:pt idx="10">
                  <c:v>30</c:v>
                </c:pt>
                <c:pt idx="11">
                  <c:v>24</c:v>
                </c:pt>
                <c:pt idx="12">
                  <c:v>113</c:v>
                </c:pt>
                <c:pt idx="13">
                  <c:v>53</c:v>
                </c:pt>
              </c:numCache>
            </c:numRef>
          </c:val>
        </c:ser>
        <c:dLbls>
          <c:showLegendKey val="0"/>
          <c:showVal val="1"/>
          <c:showCatName val="0"/>
          <c:showSerName val="0"/>
          <c:showPercent val="0"/>
          <c:showBubbleSize val="0"/>
        </c:dLbls>
        <c:gapWidth val="140"/>
        <c:overlap val="-40"/>
        <c:axId val="693843266"/>
        <c:axId val="120817633"/>
      </c:barChart>
      <c:catAx>
        <c:axId val="693843266"/>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0817633"/>
        <c:crosses val="autoZero"/>
        <c:auto val="1"/>
        <c:lblAlgn val="ctr"/>
        <c:lblOffset val="100"/>
        <c:noMultiLvlLbl val="0"/>
      </c:catAx>
      <c:valAx>
        <c:axId val="120817633"/>
        <c:scaling>
          <c:orientation val="minMax"/>
        </c:scaling>
        <c:delete val="0"/>
        <c:axPos val="b"/>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3843266"/>
        <c:crosses val="autoZero"/>
        <c:crossBetween val="between"/>
      </c:valAx>
      <c:spPr>
        <a:noFill/>
        <a:ln>
          <a:noFill/>
        </a:ln>
        <a:effectLst/>
      </c:spPr>
    </c:plotArea>
    <c:plotVisOnly val="1"/>
    <c:dispBlanksAs val="gap"/>
    <c:showDLblsOverMax val="0"/>
    <c:extLst>
      <c:ext uri="{0b15fc19-7d7d-44ad-8c2d-2c3a37ce22c3}">
        <chartProps xmlns="https://web.wps.cn/et/2018/main" chartId="{12c3a7cb-745c-4844-828d-7838b5a647b1}"/>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11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1000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1011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1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6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dk1"/>
    </cs:fontRef>
    <cs:spPr>
      <a:ln w="9525">
        <a:solidFill>
          <a:schemeClr val="phClr"/>
        </a:solidFill>
      </a:ln>
      <a:effectLst/>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4B100B-BE56-453A-BC4B-AB57C1FDD607}">
  <ds:schemaRefs/>
</ds:datastoreItem>
</file>

<file path=docProps/app.xml><?xml version="1.0" encoding="utf-8"?>
<Properties xmlns="http://schemas.openxmlformats.org/officeDocument/2006/extended-properties" xmlns:vt="http://schemas.openxmlformats.org/officeDocument/2006/docPropsVTypes">
  <Template>Normal</Template>
  <Pages>38</Pages>
  <Words>1508</Words>
  <Characters>1590</Characters>
  <Lines>86</Lines>
  <Paragraphs>24</Paragraphs>
  <TotalTime>21</TotalTime>
  <ScaleCrop>false</ScaleCrop>
  <LinksUpToDate>false</LinksUpToDate>
  <CharactersWithSpaces>1713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2024-11-28T06:48:00Z</dcterms:created>
  <dc:creator>ooopic</dc:creator>
  <cp:lastModifiedBy>张宁</cp:lastModifiedBy>
  <cp:lastPrinted>2017-07-06T13:42:00Z</cp:lastPrinted>
  <dcterms:modified xsi:type="dcterms:W3CDTF">2026-04-21T07:51:57Z</dcterms:modified>
  <dc:title>阜新高等专科学校2024</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E6B6785B06544C11A85F69ADB016B823_13</vt:lpwstr>
  </property>
  <property fmtid="{D5CDD505-2E9C-101B-9397-08002B2CF9AE}" pid="4" name="KSOTemplateDocerSaveRecord">
    <vt:lpwstr>eyJoZGlkIjoiNTcwMDA0NDNjNGYwM2FiODg4ZDFlNjI5N2FiODIwYjMiLCJ1c2VySWQiOiIxNTY4NzI0NzQ3In0=</vt:lpwstr>
  </property>
</Properties>
</file>