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60F3A7">
      <w:pPr>
        <w:ind w:firstLine="0" w:firstLineChars="0"/>
        <w:jc w:val="center"/>
        <w:rPr>
          <w:rFonts w:ascii="宋体" w:hAnsi="宋体"/>
          <w:color w:val="000000"/>
          <w:spacing w:val="60"/>
          <w:sz w:val="52"/>
          <w:szCs w:val="52"/>
        </w:rPr>
      </w:pPr>
      <w:bookmarkStart w:id="0" w:name="_Toc4896"/>
      <w:bookmarkStart w:id="1" w:name="_Toc8689"/>
      <w:bookmarkStart w:id="2" w:name="_Toc12822"/>
      <w:bookmarkStart w:id="3" w:name="_Toc26015"/>
      <w:bookmarkStart w:id="4" w:name="OLE_LINK3"/>
      <w:bookmarkStart w:id="5" w:name="_Toc3209"/>
      <w:bookmarkStart w:id="6" w:name="_Toc1079"/>
      <w:bookmarkStart w:id="7" w:name="_Toc7581"/>
      <w:bookmarkStart w:id="8" w:name="_Toc25751"/>
      <w:bookmarkStart w:id="9" w:name="_Toc12062"/>
    </w:p>
    <w:p w14:paraId="6913DE63">
      <w:pPr>
        <w:ind w:firstLine="0" w:firstLineChars="0"/>
        <w:jc w:val="center"/>
        <w:rPr>
          <w:rFonts w:ascii="宋体" w:hAnsi="宋体"/>
          <w:color w:val="000000"/>
          <w:spacing w:val="60"/>
          <w:sz w:val="52"/>
          <w:szCs w:val="52"/>
        </w:rPr>
      </w:pPr>
    </w:p>
    <w:p w14:paraId="559FCB3C">
      <w:pPr>
        <w:ind w:firstLine="0" w:firstLineChars="0"/>
        <w:jc w:val="center"/>
        <w:rPr>
          <w:rFonts w:ascii="宋体" w:hAnsi="宋体"/>
          <w:color w:val="000000"/>
          <w:spacing w:val="60"/>
          <w:sz w:val="52"/>
          <w:szCs w:val="52"/>
        </w:rPr>
      </w:pPr>
    </w:p>
    <w:p w14:paraId="0086C1F3">
      <w:pPr>
        <w:ind w:firstLine="0" w:firstLineChars="0"/>
        <w:jc w:val="center"/>
        <w:rPr>
          <w:rFonts w:ascii="宋体" w:hAnsi="宋体"/>
          <w:color w:val="000000"/>
          <w:spacing w:val="60"/>
          <w:sz w:val="52"/>
          <w:szCs w:val="52"/>
        </w:rPr>
      </w:pPr>
      <w:r>
        <w:rPr>
          <w:rFonts w:hint="eastAsia" w:ascii="宋体" w:hAnsi="宋体"/>
          <w:color w:val="000000"/>
          <w:spacing w:val="60"/>
          <w:sz w:val="52"/>
          <w:szCs w:val="52"/>
        </w:rPr>
        <w:t>阜新高等专科学校</w:t>
      </w:r>
    </w:p>
    <w:p w14:paraId="6F09E8BE">
      <w:pPr>
        <w:ind w:firstLine="0" w:firstLineChars="0"/>
        <w:jc w:val="center"/>
        <w:rPr>
          <w:rFonts w:eastAsia="黑体"/>
          <w:b/>
          <w:color w:val="000000"/>
          <w:sz w:val="84"/>
        </w:rPr>
      </w:pPr>
    </w:p>
    <w:p w14:paraId="4F643AC9">
      <w:pPr>
        <w:ind w:firstLine="0" w:firstLineChars="0"/>
        <w:jc w:val="center"/>
        <w:rPr>
          <w:rFonts w:eastAsia="黑体"/>
          <w:color w:val="000000"/>
          <w:spacing w:val="30"/>
          <w:sz w:val="44"/>
          <w:szCs w:val="44"/>
        </w:rPr>
      </w:pPr>
      <w:r>
        <w:rPr>
          <w:rFonts w:hint="eastAsia" w:eastAsia="黑体"/>
          <w:color w:val="000000"/>
          <w:spacing w:val="30"/>
          <w:sz w:val="44"/>
          <w:szCs w:val="44"/>
          <w:lang w:eastAsia="zh-CN"/>
        </w:rPr>
        <w:t>精细化工技术</w:t>
      </w:r>
      <w:r>
        <w:rPr>
          <w:rFonts w:hint="eastAsia" w:eastAsia="黑体"/>
          <w:color w:val="000000"/>
          <w:spacing w:val="30"/>
          <w:sz w:val="44"/>
          <w:szCs w:val="44"/>
        </w:rPr>
        <w:t>（三年制）专业</w:t>
      </w:r>
    </w:p>
    <w:p w14:paraId="1A00D83D">
      <w:pPr>
        <w:ind w:firstLine="0" w:firstLineChars="0"/>
        <w:jc w:val="center"/>
        <w:rPr>
          <w:rFonts w:eastAsia="黑体"/>
          <w:color w:val="000000"/>
          <w:spacing w:val="30"/>
          <w:sz w:val="44"/>
          <w:szCs w:val="44"/>
        </w:rPr>
      </w:pPr>
      <w:r>
        <w:rPr>
          <w:rFonts w:hint="eastAsia" w:eastAsia="黑体"/>
          <w:color w:val="000000"/>
          <w:spacing w:val="30"/>
          <w:sz w:val="44"/>
          <w:szCs w:val="44"/>
        </w:rPr>
        <w:t>人才培养方案</w:t>
      </w:r>
    </w:p>
    <w:p w14:paraId="4C5935D5">
      <w:pPr>
        <w:ind w:firstLine="0" w:firstLineChars="0"/>
        <w:jc w:val="center"/>
        <w:rPr>
          <w:rFonts w:eastAsia="黑体"/>
          <w:color w:val="000000"/>
          <w:sz w:val="32"/>
        </w:rPr>
      </w:pPr>
    </w:p>
    <w:p w14:paraId="39EA973C">
      <w:pPr>
        <w:ind w:firstLine="0" w:firstLineChars="0"/>
        <w:jc w:val="center"/>
        <w:rPr>
          <w:rFonts w:eastAsia="黑体"/>
          <w:color w:val="000000"/>
          <w:sz w:val="32"/>
        </w:rPr>
      </w:pPr>
    </w:p>
    <w:p w14:paraId="59DC0DA2">
      <w:pPr>
        <w:ind w:firstLine="0" w:firstLineChars="0"/>
        <w:jc w:val="center"/>
        <w:rPr>
          <w:rFonts w:eastAsia="黑体"/>
          <w:color w:val="000000"/>
          <w:sz w:val="32"/>
        </w:rPr>
      </w:pPr>
    </w:p>
    <w:p w14:paraId="1B23832C">
      <w:pPr>
        <w:ind w:firstLine="0" w:firstLineChars="0"/>
        <w:jc w:val="center"/>
        <w:rPr>
          <w:rFonts w:eastAsia="黑体"/>
          <w:color w:val="000000"/>
          <w:sz w:val="32"/>
        </w:rPr>
      </w:pPr>
    </w:p>
    <w:p w14:paraId="0821FECA">
      <w:pPr>
        <w:ind w:firstLine="0" w:firstLineChars="0"/>
        <w:jc w:val="center"/>
        <w:rPr>
          <w:rFonts w:eastAsia="黑体"/>
          <w:color w:val="000000"/>
          <w:sz w:val="32"/>
        </w:rPr>
      </w:pPr>
    </w:p>
    <w:p w14:paraId="1B7FDAB1">
      <w:pPr>
        <w:ind w:firstLine="0" w:firstLineChars="0"/>
        <w:rPr>
          <w:b/>
          <w:bCs/>
          <w:color w:val="000000"/>
          <w:sz w:val="18"/>
        </w:rPr>
      </w:pPr>
    </w:p>
    <w:p w14:paraId="5427FFF4">
      <w:pPr>
        <w:spacing w:line="600" w:lineRule="exact"/>
        <w:ind w:firstLine="0" w:firstLineChars="0"/>
        <w:rPr>
          <w:b/>
          <w:bCs/>
          <w:color w:val="000000"/>
        </w:rPr>
      </w:pPr>
    </w:p>
    <w:tbl>
      <w:tblPr>
        <w:tblStyle w:val="21"/>
        <w:tblW w:w="0" w:type="auto"/>
        <w:jc w:val="center"/>
        <w:tblLayout w:type="autofit"/>
        <w:tblCellMar>
          <w:top w:w="0" w:type="dxa"/>
          <w:left w:w="108" w:type="dxa"/>
          <w:bottom w:w="0" w:type="dxa"/>
          <w:right w:w="108" w:type="dxa"/>
        </w:tblCellMar>
      </w:tblPr>
      <w:tblGrid>
        <w:gridCol w:w="1668"/>
        <w:gridCol w:w="3827"/>
      </w:tblGrid>
      <w:tr w14:paraId="25FDC8B9">
        <w:tblPrEx>
          <w:tblCellMar>
            <w:top w:w="0" w:type="dxa"/>
            <w:left w:w="108" w:type="dxa"/>
            <w:bottom w:w="0" w:type="dxa"/>
            <w:right w:w="108" w:type="dxa"/>
          </w:tblCellMar>
        </w:tblPrEx>
        <w:trPr>
          <w:jc w:val="center"/>
        </w:trPr>
        <w:tc>
          <w:tcPr>
            <w:tcW w:w="1668" w:type="dxa"/>
            <w:vAlign w:val="center"/>
          </w:tcPr>
          <w:p w14:paraId="621DD054">
            <w:pPr>
              <w:spacing w:line="600" w:lineRule="exact"/>
              <w:ind w:firstLine="0" w:firstLineChars="0"/>
              <w:jc w:val="center"/>
              <w:rPr>
                <w:rFonts w:ascii="宋体"/>
                <w:bCs/>
                <w:color w:val="000000"/>
                <w:sz w:val="30"/>
                <w:szCs w:val="30"/>
                <w:u w:val="single"/>
              </w:rPr>
            </w:pPr>
            <w:r>
              <w:rPr>
                <w:rFonts w:hint="eastAsia" w:ascii="宋体" w:hAnsi="宋体"/>
                <w:b/>
                <w:bCs/>
                <w:color w:val="000000"/>
                <w:sz w:val="30"/>
                <w:szCs w:val="30"/>
              </w:rPr>
              <w:t>专业名称：</w:t>
            </w:r>
          </w:p>
        </w:tc>
        <w:tc>
          <w:tcPr>
            <w:tcW w:w="3827" w:type="dxa"/>
            <w:tcBorders>
              <w:bottom w:val="single" w:color="auto" w:sz="4" w:space="0"/>
            </w:tcBorders>
            <w:vAlign w:val="center"/>
          </w:tcPr>
          <w:p w14:paraId="31625E6E">
            <w:pPr>
              <w:spacing w:line="600" w:lineRule="exact"/>
              <w:ind w:firstLine="0" w:firstLineChars="0"/>
              <w:jc w:val="center"/>
              <w:rPr>
                <w:rFonts w:hint="eastAsia" w:ascii="宋体" w:eastAsia="宋体"/>
                <w:bCs/>
                <w:color w:val="000000"/>
                <w:sz w:val="30"/>
                <w:szCs w:val="30"/>
                <w:u w:val="single"/>
                <w:lang w:eastAsia="zh-CN"/>
              </w:rPr>
            </w:pPr>
            <w:r>
              <w:rPr>
                <w:rFonts w:hint="eastAsia" w:ascii="宋体" w:hAnsi="宋体"/>
                <w:b/>
                <w:color w:val="000000"/>
                <w:sz w:val="30"/>
                <w:szCs w:val="30"/>
                <w:lang w:eastAsia="zh-CN"/>
              </w:rPr>
              <w:t>精细化工技术</w:t>
            </w:r>
          </w:p>
        </w:tc>
      </w:tr>
      <w:tr w14:paraId="533E4931">
        <w:tblPrEx>
          <w:tblCellMar>
            <w:top w:w="0" w:type="dxa"/>
            <w:left w:w="108" w:type="dxa"/>
            <w:bottom w:w="0" w:type="dxa"/>
            <w:right w:w="108" w:type="dxa"/>
          </w:tblCellMar>
        </w:tblPrEx>
        <w:trPr>
          <w:trHeight w:val="90" w:hRule="atLeast"/>
          <w:jc w:val="center"/>
        </w:trPr>
        <w:tc>
          <w:tcPr>
            <w:tcW w:w="1668" w:type="dxa"/>
            <w:vAlign w:val="center"/>
          </w:tcPr>
          <w:p w14:paraId="424CD83E">
            <w:pPr>
              <w:spacing w:line="600" w:lineRule="exact"/>
              <w:ind w:firstLine="0" w:firstLineChars="0"/>
              <w:jc w:val="center"/>
              <w:rPr>
                <w:rFonts w:ascii="宋体"/>
                <w:b/>
                <w:bCs/>
                <w:color w:val="000000"/>
                <w:sz w:val="30"/>
                <w:szCs w:val="30"/>
              </w:rPr>
            </w:pPr>
            <w:r>
              <w:rPr>
                <w:rFonts w:hint="eastAsia" w:ascii="宋体" w:hAnsi="宋体"/>
                <w:b/>
                <w:bCs/>
                <w:color w:val="000000"/>
                <w:sz w:val="30"/>
                <w:szCs w:val="30"/>
              </w:rPr>
              <w:t>专业代码：</w:t>
            </w:r>
          </w:p>
        </w:tc>
        <w:tc>
          <w:tcPr>
            <w:tcW w:w="3827" w:type="dxa"/>
            <w:tcBorders>
              <w:bottom w:val="single" w:color="auto" w:sz="4" w:space="0"/>
            </w:tcBorders>
            <w:vAlign w:val="center"/>
          </w:tcPr>
          <w:p w14:paraId="492A011E">
            <w:pPr>
              <w:spacing w:line="600" w:lineRule="exact"/>
              <w:ind w:firstLine="0" w:firstLineChars="0"/>
              <w:jc w:val="center"/>
              <w:rPr>
                <w:rFonts w:hint="default" w:ascii="宋体" w:hAnsi="宋体" w:eastAsia="宋体"/>
                <w:b/>
                <w:color w:val="000000"/>
                <w:sz w:val="30"/>
                <w:szCs w:val="30"/>
                <w:lang w:val="en-US" w:eastAsia="zh-CN"/>
              </w:rPr>
            </w:pPr>
            <w:r>
              <w:rPr>
                <w:rFonts w:hint="eastAsia" w:ascii="宋体" w:hAnsi="宋体"/>
                <w:b/>
                <w:color w:val="000000"/>
                <w:sz w:val="30"/>
                <w:szCs w:val="30"/>
                <w:lang w:val="en-US" w:eastAsia="zh-CN"/>
              </w:rPr>
              <w:t>470203</w:t>
            </w:r>
          </w:p>
        </w:tc>
      </w:tr>
      <w:tr w14:paraId="710F4D05">
        <w:tblPrEx>
          <w:tblCellMar>
            <w:top w:w="0" w:type="dxa"/>
            <w:left w:w="108" w:type="dxa"/>
            <w:bottom w:w="0" w:type="dxa"/>
            <w:right w:w="108" w:type="dxa"/>
          </w:tblCellMar>
        </w:tblPrEx>
        <w:trPr>
          <w:jc w:val="center"/>
        </w:trPr>
        <w:tc>
          <w:tcPr>
            <w:tcW w:w="1668" w:type="dxa"/>
            <w:vAlign w:val="center"/>
          </w:tcPr>
          <w:p w14:paraId="6B6094DF">
            <w:pPr>
              <w:spacing w:line="600" w:lineRule="exact"/>
              <w:ind w:firstLine="0" w:firstLineChars="0"/>
              <w:jc w:val="center"/>
              <w:rPr>
                <w:rFonts w:ascii="宋体"/>
                <w:b/>
                <w:bCs/>
                <w:color w:val="000000"/>
                <w:sz w:val="30"/>
                <w:szCs w:val="30"/>
              </w:rPr>
            </w:pPr>
            <w:r>
              <w:rPr>
                <w:rFonts w:hint="eastAsia" w:ascii="宋体" w:hAnsi="宋体"/>
                <w:b/>
                <w:bCs/>
                <w:color w:val="000000"/>
                <w:sz w:val="30"/>
                <w:szCs w:val="30"/>
              </w:rPr>
              <w:t>填报学校：</w:t>
            </w:r>
          </w:p>
        </w:tc>
        <w:tc>
          <w:tcPr>
            <w:tcW w:w="3827" w:type="dxa"/>
            <w:tcBorders>
              <w:top w:val="single" w:color="auto" w:sz="4" w:space="0"/>
              <w:bottom w:val="single" w:color="auto" w:sz="4" w:space="0"/>
            </w:tcBorders>
            <w:vAlign w:val="center"/>
          </w:tcPr>
          <w:p w14:paraId="46182B29">
            <w:pPr>
              <w:spacing w:line="600" w:lineRule="exact"/>
              <w:ind w:firstLine="0" w:firstLineChars="0"/>
              <w:jc w:val="center"/>
              <w:rPr>
                <w:rFonts w:ascii="宋体"/>
                <w:b/>
                <w:bCs/>
                <w:color w:val="000000"/>
                <w:sz w:val="30"/>
                <w:szCs w:val="30"/>
              </w:rPr>
            </w:pPr>
            <w:r>
              <w:rPr>
                <w:rFonts w:hint="eastAsia" w:ascii="宋体" w:hAnsi="宋体"/>
                <w:b/>
                <w:bCs/>
                <w:color w:val="000000"/>
                <w:sz w:val="30"/>
                <w:szCs w:val="30"/>
              </w:rPr>
              <w:t>阜新高等专科学校</w:t>
            </w:r>
          </w:p>
        </w:tc>
      </w:tr>
      <w:tr w14:paraId="08CCC785">
        <w:tblPrEx>
          <w:tblCellMar>
            <w:top w:w="0" w:type="dxa"/>
            <w:left w:w="108" w:type="dxa"/>
            <w:bottom w:w="0" w:type="dxa"/>
            <w:right w:w="108" w:type="dxa"/>
          </w:tblCellMar>
        </w:tblPrEx>
        <w:trPr>
          <w:jc w:val="center"/>
        </w:trPr>
        <w:tc>
          <w:tcPr>
            <w:tcW w:w="1668" w:type="dxa"/>
            <w:vAlign w:val="center"/>
          </w:tcPr>
          <w:p w14:paraId="1BCC469B">
            <w:pPr>
              <w:spacing w:line="600" w:lineRule="exact"/>
              <w:ind w:firstLine="0" w:firstLineChars="0"/>
              <w:jc w:val="center"/>
              <w:rPr>
                <w:rFonts w:ascii="宋体"/>
                <w:b/>
                <w:bCs/>
                <w:color w:val="000000"/>
                <w:sz w:val="30"/>
                <w:szCs w:val="30"/>
              </w:rPr>
            </w:pPr>
            <w:r>
              <w:rPr>
                <w:rFonts w:hint="eastAsia" w:ascii="宋体" w:hAnsi="宋体"/>
                <w:b/>
                <w:bCs/>
                <w:color w:val="000000"/>
                <w:sz w:val="30"/>
                <w:szCs w:val="30"/>
              </w:rPr>
              <w:t>联</w:t>
            </w:r>
            <w:r>
              <w:rPr>
                <w:rFonts w:ascii="宋体" w:hAnsi="宋体"/>
                <w:b/>
                <w:bCs/>
                <w:color w:val="000000"/>
                <w:sz w:val="30"/>
                <w:szCs w:val="30"/>
              </w:rPr>
              <w:t xml:space="preserve"> </w:t>
            </w:r>
            <w:r>
              <w:rPr>
                <w:rFonts w:hint="eastAsia" w:ascii="宋体" w:hAnsi="宋体"/>
                <w:b/>
                <w:bCs/>
                <w:color w:val="000000"/>
                <w:sz w:val="30"/>
                <w:szCs w:val="30"/>
              </w:rPr>
              <w:t>系</w:t>
            </w:r>
            <w:r>
              <w:rPr>
                <w:rFonts w:ascii="宋体" w:hAnsi="宋体"/>
                <w:b/>
                <w:bCs/>
                <w:color w:val="000000"/>
                <w:sz w:val="30"/>
                <w:szCs w:val="30"/>
              </w:rPr>
              <w:t xml:space="preserve"> </w:t>
            </w:r>
            <w:r>
              <w:rPr>
                <w:rFonts w:hint="eastAsia" w:ascii="宋体" w:hAnsi="宋体"/>
                <w:b/>
                <w:bCs/>
                <w:color w:val="000000"/>
                <w:sz w:val="30"/>
                <w:szCs w:val="30"/>
              </w:rPr>
              <w:t>人：</w:t>
            </w:r>
          </w:p>
        </w:tc>
        <w:tc>
          <w:tcPr>
            <w:tcW w:w="3827" w:type="dxa"/>
            <w:tcBorders>
              <w:top w:val="single" w:color="auto" w:sz="4" w:space="0"/>
              <w:bottom w:val="single" w:color="auto" w:sz="4" w:space="0"/>
            </w:tcBorders>
            <w:vAlign w:val="center"/>
          </w:tcPr>
          <w:p w14:paraId="6806B107">
            <w:pPr>
              <w:spacing w:line="600" w:lineRule="exact"/>
              <w:ind w:firstLine="0" w:firstLineChars="0"/>
              <w:jc w:val="center"/>
              <w:rPr>
                <w:rFonts w:hint="eastAsia" w:ascii="宋体" w:eastAsia="宋体"/>
                <w:b/>
                <w:bCs/>
                <w:color w:val="000000"/>
                <w:sz w:val="30"/>
                <w:szCs w:val="30"/>
                <w:lang w:val="en-US" w:eastAsia="zh-CN"/>
              </w:rPr>
            </w:pPr>
            <w:r>
              <w:rPr>
                <w:rFonts w:hint="eastAsia" w:ascii="宋体"/>
                <w:b/>
                <w:bCs/>
                <w:color w:val="000000"/>
                <w:sz w:val="30"/>
                <w:szCs w:val="30"/>
                <w:lang w:val="en-US" w:eastAsia="zh-CN"/>
              </w:rPr>
              <w:t>邓堃</w:t>
            </w:r>
          </w:p>
        </w:tc>
      </w:tr>
      <w:tr w14:paraId="64B20152">
        <w:tblPrEx>
          <w:tblCellMar>
            <w:top w:w="0" w:type="dxa"/>
            <w:left w:w="108" w:type="dxa"/>
            <w:bottom w:w="0" w:type="dxa"/>
            <w:right w:w="108" w:type="dxa"/>
          </w:tblCellMar>
        </w:tblPrEx>
        <w:trPr>
          <w:jc w:val="center"/>
        </w:trPr>
        <w:tc>
          <w:tcPr>
            <w:tcW w:w="1668" w:type="dxa"/>
            <w:vAlign w:val="center"/>
          </w:tcPr>
          <w:p w14:paraId="4D16052D">
            <w:pPr>
              <w:spacing w:line="600" w:lineRule="exact"/>
              <w:ind w:firstLine="0" w:firstLineChars="0"/>
              <w:jc w:val="center"/>
              <w:rPr>
                <w:rFonts w:ascii="宋体"/>
                <w:b/>
                <w:bCs/>
                <w:color w:val="000000"/>
                <w:sz w:val="30"/>
                <w:szCs w:val="30"/>
              </w:rPr>
            </w:pPr>
            <w:r>
              <w:rPr>
                <w:rFonts w:hint="eastAsia" w:ascii="宋体" w:hAnsi="宋体"/>
                <w:b/>
                <w:bCs/>
                <w:color w:val="000000"/>
                <w:sz w:val="30"/>
                <w:szCs w:val="30"/>
              </w:rPr>
              <w:t>联系电话：</w:t>
            </w:r>
          </w:p>
        </w:tc>
        <w:tc>
          <w:tcPr>
            <w:tcW w:w="3827" w:type="dxa"/>
            <w:tcBorders>
              <w:top w:val="single" w:color="auto" w:sz="4" w:space="0"/>
              <w:bottom w:val="single" w:color="auto" w:sz="4" w:space="0"/>
            </w:tcBorders>
            <w:vAlign w:val="center"/>
          </w:tcPr>
          <w:p w14:paraId="181576F7">
            <w:pPr>
              <w:spacing w:line="600" w:lineRule="exact"/>
              <w:ind w:firstLine="0" w:firstLineChars="0"/>
              <w:jc w:val="center"/>
              <w:rPr>
                <w:rFonts w:ascii="宋体" w:hAnsi="宋体"/>
                <w:b/>
                <w:bCs/>
                <w:color w:val="000000"/>
                <w:sz w:val="30"/>
                <w:szCs w:val="30"/>
              </w:rPr>
            </w:pPr>
            <w:r>
              <w:rPr>
                <w:rFonts w:ascii="宋体" w:hAnsi="宋体"/>
                <w:b/>
                <w:bCs/>
                <w:color w:val="000000"/>
                <w:sz w:val="30"/>
                <w:szCs w:val="30"/>
              </w:rPr>
              <w:t>0418-2290118</w:t>
            </w:r>
            <w:bookmarkStart w:id="45" w:name="_GoBack"/>
            <w:bookmarkEnd w:id="45"/>
          </w:p>
        </w:tc>
      </w:tr>
      <w:tr w14:paraId="51BE0CEF">
        <w:tblPrEx>
          <w:tblCellMar>
            <w:top w:w="0" w:type="dxa"/>
            <w:left w:w="108" w:type="dxa"/>
            <w:bottom w:w="0" w:type="dxa"/>
            <w:right w:w="108" w:type="dxa"/>
          </w:tblCellMar>
        </w:tblPrEx>
        <w:trPr>
          <w:jc w:val="center"/>
        </w:trPr>
        <w:tc>
          <w:tcPr>
            <w:tcW w:w="1668" w:type="dxa"/>
            <w:vAlign w:val="center"/>
          </w:tcPr>
          <w:p w14:paraId="0B21AE73">
            <w:pPr>
              <w:spacing w:line="600" w:lineRule="exact"/>
              <w:ind w:firstLine="0" w:firstLineChars="0"/>
              <w:jc w:val="center"/>
              <w:rPr>
                <w:rFonts w:ascii="宋体"/>
                <w:b/>
                <w:bCs/>
                <w:color w:val="000000"/>
                <w:sz w:val="30"/>
                <w:szCs w:val="30"/>
              </w:rPr>
            </w:pPr>
            <w:r>
              <w:rPr>
                <w:rFonts w:hint="eastAsia" w:ascii="宋体" w:hAnsi="宋体"/>
                <w:b/>
                <w:bCs/>
                <w:color w:val="000000"/>
                <w:sz w:val="30"/>
                <w:szCs w:val="30"/>
              </w:rPr>
              <w:t>填报时间：</w:t>
            </w:r>
          </w:p>
        </w:tc>
        <w:tc>
          <w:tcPr>
            <w:tcW w:w="3827" w:type="dxa"/>
            <w:tcBorders>
              <w:top w:val="single" w:color="auto" w:sz="4" w:space="0"/>
              <w:bottom w:val="single" w:color="auto" w:sz="4" w:space="0"/>
            </w:tcBorders>
            <w:vAlign w:val="center"/>
          </w:tcPr>
          <w:p w14:paraId="1B5D849A">
            <w:pPr>
              <w:spacing w:line="600" w:lineRule="exact"/>
              <w:ind w:firstLine="0" w:firstLineChars="0"/>
              <w:jc w:val="center"/>
              <w:rPr>
                <w:rFonts w:ascii="宋体"/>
                <w:b/>
                <w:bCs/>
                <w:color w:val="000000"/>
                <w:sz w:val="30"/>
                <w:szCs w:val="30"/>
              </w:rPr>
            </w:pPr>
            <w:r>
              <w:rPr>
                <w:rFonts w:ascii="宋体" w:hAnsi="宋体"/>
                <w:b/>
                <w:bCs/>
                <w:color w:val="000000"/>
                <w:sz w:val="30"/>
                <w:szCs w:val="30"/>
              </w:rPr>
              <w:t>202</w:t>
            </w:r>
            <w:r>
              <w:rPr>
                <w:rFonts w:hint="eastAsia" w:ascii="宋体" w:hAnsi="宋体"/>
                <w:b/>
                <w:bCs/>
                <w:color w:val="000000"/>
                <w:sz w:val="30"/>
                <w:szCs w:val="30"/>
              </w:rPr>
              <w:t>3年10月1</w:t>
            </w:r>
            <w:r>
              <w:rPr>
                <w:rFonts w:ascii="宋体" w:hAnsi="宋体"/>
                <w:b/>
                <w:bCs/>
                <w:color w:val="000000"/>
                <w:sz w:val="30"/>
                <w:szCs w:val="30"/>
              </w:rPr>
              <w:t>5</w:t>
            </w:r>
            <w:r>
              <w:rPr>
                <w:rFonts w:hint="eastAsia" w:ascii="宋体" w:hAnsi="宋体"/>
                <w:b/>
                <w:bCs/>
                <w:color w:val="000000"/>
                <w:sz w:val="30"/>
                <w:szCs w:val="30"/>
              </w:rPr>
              <w:t>日</w:t>
            </w:r>
          </w:p>
        </w:tc>
      </w:tr>
    </w:tbl>
    <w:p w14:paraId="418B7058">
      <w:pPr>
        <w:tabs>
          <w:tab w:val="left" w:pos="0"/>
        </w:tabs>
        <w:snapToGrid w:val="0"/>
        <w:ind w:firstLine="0" w:firstLineChars="0"/>
        <w:jc w:val="center"/>
        <w:rPr>
          <w:b/>
          <w:color w:val="000000"/>
          <w:sz w:val="32"/>
          <w:szCs w:val="32"/>
        </w:rPr>
        <w:sectPr>
          <w:headerReference r:id="rId5" w:type="default"/>
          <w:footerReference r:id="rId6" w:type="even"/>
          <w:pgSz w:w="11906" w:h="16838"/>
          <w:pgMar w:top="1440" w:right="1797" w:bottom="1440" w:left="1797" w:header="851" w:footer="992" w:gutter="0"/>
          <w:cols w:space="720" w:num="1"/>
          <w:docGrid w:type="lines" w:linePitch="312" w:charSpace="0"/>
        </w:sectPr>
      </w:pPr>
    </w:p>
    <w:bookmarkEnd w:id="0"/>
    <w:bookmarkEnd w:id="1"/>
    <w:bookmarkEnd w:id="2"/>
    <w:bookmarkEnd w:id="3"/>
    <w:bookmarkEnd w:id="4"/>
    <w:bookmarkEnd w:id="5"/>
    <w:bookmarkEnd w:id="6"/>
    <w:bookmarkEnd w:id="7"/>
    <w:bookmarkEnd w:id="8"/>
    <w:bookmarkEnd w:id="9"/>
    <w:p w14:paraId="3641F1EA">
      <w:pPr>
        <w:spacing w:line="480" w:lineRule="auto"/>
        <w:ind w:firstLine="723"/>
        <w:jc w:val="center"/>
        <w:rPr>
          <w:b/>
          <w:bCs/>
          <w:sz w:val="36"/>
          <w:szCs w:val="32"/>
        </w:rPr>
      </w:pPr>
      <w:r>
        <w:rPr>
          <w:rFonts w:hint="eastAsia"/>
          <w:b/>
          <w:bCs/>
          <w:sz w:val="36"/>
          <w:szCs w:val="32"/>
          <w:lang w:eastAsia="zh-CN"/>
        </w:rPr>
        <w:t>精细化工技术</w:t>
      </w:r>
      <w:r>
        <w:rPr>
          <w:rFonts w:hint="eastAsia"/>
          <w:b/>
          <w:bCs/>
          <w:sz w:val="36"/>
          <w:szCs w:val="32"/>
        </w:rPr>
        <w:t>专业人才培养方案</w:t>
      </w:r>
    </w:p>
    <w:p w14:paraId="349644CC">
      <w:pPr>
        <w:spacing w:line="480" w:lineRule="exact"/>
        <w:ind w:right="140" w:rightChars="50" w:firstLine="562"/>
        <w:rPr>
          <w:rFonts w:ascii="宋体" w:hAnsi="宋体" w:cs="Courier New"/>
          <w:b/>
          <w:szCs w:val="28"/>
        </w:rPr>
      </w:pPr>
      <w:r>
        <w:rPr>
          <w:rFonts w:hint="eastAsia" w:ascii="宋体" w:hAnsi="宋体" w:cs="Courier New"/>
          <w:b/>
          <w:szCs w:val="28"/>
        </w:rPr>
        <w:t>一、学制与招生对象：</w:t>
      </w:r>
    </w:p>
    <w:p w14:paraId="78F6DB7E">
      <w:pPr>
        <w:spacing w:line="480" w:lineRule="exact"/>
        <w:ind w:right="140" w:rightChars="50" w:firstLine="560"/>
        <w:rPr>
          <w:rFonts w:ascii="宋体" w:hAnsi="宋体" w:cs="Courier New"/>
          <w:szCs w:val="28"/>
        </w:rPr>
      </w:pPr>
      <w:r>
        <w:rPr>
          <w:rFonts w:hint="eastAsia" w:ascii="宋体" w:hAnsi="宋体" w:cs="Courier New"/>
          <w:szCs w:val="28"/>
        </w:rPr>
        <w:t>学    制：三年</w:t>
      </w:r>
    </w:p>
    <w:p w14:paraId="07B27721">
      <w:pPr>
        <w:spacing w:line="480" w:lineRule="exact"/>
        <w:ind w:right="140" w:rightChars="50" w:firstLine="560"/>
        <w:rPr>
          <w:rFonts w:ascii="宋体" w:hAnsi="宋体" w:cs="Courier New"/>
          <w:szCs w:val="28"/>
        </w:rPr>
      </w:pPr>
      <w:r>
        <w:rPr>
          <w:rFonts w:hint="eastAsia" w:ascii="宋体" w:hAnsi="宋体" w:cs="Courier New"/>
          <w:szCs w:val="28"/>
        </w:rPr>
        <w:t>招生对象：高中毕业生、三校生</w:t>
      </w:r>
    </w:p>
    <w:p w14:paraId="213BAF14">
      <w:pPr>
        <w:spacing w:line="480" w:lineRule="exact"/>
        <w:ind w:right="140" w:rightChars="50" w:firstLine="562"/>
        <w:rPr>
          <w:rFonts w:ascii="宋体" w:hAnsi="宋体" w:cs="Courier New"/>
          <w:b/>
          <w:szCs w:val="28"/>
        </w:rPr>
      </w:pPr>
      <w:r>
        <w:rPr>
          <w:rFonts w:hint="eastAsia" w:ascii="宋体" w:hAnsi="宋体" w:cs="Courier New"/>
          <w:b/>
          <w:szCs w:val="28"/>
        </w:rPr>
        <w:t>二、培养目标、培养规格、就业岗位</w:t>
      </w:r>
    </w:p>
    <w:p w14:paraId="4AD53536">
      <w:pPr>
        <w:spacing w:line="480" w:lineRule="exact"/>
        <w:ind w:right="140" w:rightChars="50" w:firstLine="562"/>
        <w:rPr>
          <w:rFonts w:ascii="宋体" w:hAnsi="宋体" w:cs="Courier New"/>
          <w:b/>
          <w:szCs w:val="28"/>
        </w:rPr>
      </w:pPr>
      <w:r>
        <w:rPr>
          <w:rFonts w:hint="eastAsia" w:ascii="宋体" w:hAnsi="宋体" w:cs="Courier New"/>
          <w:b/>
          <w:szCs w:val="28"/>
        </w:rPr>
        <w:t>（一）培养目标</w:t>
      </w:r>
    </w:p>
    <w:p w14:paraId="1B35F1FC">
      <w:pPr>
        <w:spacing w:line="480" w:lineRule="exact"/>
        <w:ind w:right="140" w:rightChars="50" w:firstLine="562"/>
        <w:rPr>
          <w:rFonts w:ascii="宋体" w:hAnsi="宋体" w:cs="Courier New"/>
          <w:b/>
          <w:szCs w:val="28"/>
        </w:rPr>
      </w:pPr>
      <w:r>
        <w:rPr>
          <w:rFonts w:hint="eastAsia" w:ascii="宋体" w:hAnsi="宋体" w:cs="Courier New"/>
          <w:b/>
          <w:szCs w:val="28"/>
        </w:rPr>
        <w:t>1、专业定位</w:t>
      </w:r>
    </w:p>
    <w:p w14:paraId="62E769B8">
      <w:pPr>
        <w:spacing w:line="480" w:lineRule="exact"/>
        <w:ind w:right="140" w:rightChars="50" w:firstLine="560"/>
        <w:rPr>
          <w:rFonts w:ascii="宋体" w:hAnsi="宋体" w:cs="Courier New"/>
          <w:szCs w:val="28"/>
        </w:rPr>
      </w:pPr>
      <w:r>
        <w:rPr>
          <w:rFonts w:hint="eastAsia" w:ascii="宋体" w:hAnsi="宋体" w:cs="Courier New"/>
          <w:szCs w:val="28"/>
          <w:lang w:eastAsia="zh-CN"/>
        </w:rPr>
        <w:t>精细化工技术</w:t>
      </w:r>
      <w:r>
        <w:rPr>
          <w:rFonts w:ascii="宋体" w:hAnsi="宋体" w:cs="Courier New"/>
          <w:szCs w:val="28"/>
        </w:rPr>
        <w:t>专业始终坚持为</w:t>
      </w:r>
      <w:r>
        <w:rPr>
          <w:rFonts w:hint="eastAsia" w:ascii="宋体" w:hAnsi="宋体" w:cs="Courier New"/>
          <w:szCs w:val="28"/>
          <w:lang w:eastAsia="zh-CN"/>
        </w:rPr>
        <w:t>精细</w:t>
      </w:r>
      <w:r>
        <w:rPr>
          <w:rFonts w:ascii="宋体" w:hAnsi="宋体" w:cs="Courier New"/>
          <w:szCs w:val="28"/>
        </w:rPr>
        <w:t>化工和</w:t>
      </w:r>
      <w:r>
        <w:rPr>
          <w:rFonts w:hint="eastAsia" w:ascii="宋体" w:hAnsi="宋体" w:cs="Courier New"/>
          <w:szCs w:val="28"/>
          <w:lang w:eastAsia="zh-CN"/>
        </w:rPr>
        <w:t>精细</w:t>
      </w:r>
      <w:r>
        <w:rPr>
          <w:rFonts w:ascii="宋体" w:hAnsi="宋体" w:cs="Courier New"/>
          <w:szCs w:val="28"/>
        </w:rPr>
        <w:t>化工相关行业培养优秀人才的办学宗旨，坚持培养面向生产、建设、管理第一线，“下得去、留得住、用得上”，实践能力强、具有良好职业道德的高技能人才。为加强技能型人才培养，在“贴近实际，科学设计人才培养新模式;体现实用，构建技能型人才质量的新规范”的基础上，突出“应用”，为企业培养高技能应用性人才。</w:t>
      </w:r>
    </w:p>
    <w:p w14:paraId="7D4BB418">
      <w:pPr>
        <w:spacing w:line="480" w:lineRule="exact"/>
        <w:ind w:right="140" w:rightChars="50" w:firstLine="562"/>
        <w:rPr>
          <w:rFonts w:ascii="宋体" w:hAnsi="宋体" w:cs="Courier New"/>
          <w:b/>
          <w:szCs w:val="28"/>
        </w:rPr>
      </w:pPr>
      <w:r>
        <w:rPr>
          <w:rFonts w:hint="eastAsia" w:ascii="宋体" w:hAnsi="宋体" w:cs="Courier New"/>
          <w:b/>
          <w:szCs w:val="28"/>
        </w:rPr>
        <w:t>2、培养目标</w:t>
      </w:r>
    </w:p>
    <w:p w14:paraId="3B8D605B">
      <w:pPr>
        <w:spacing w:line="480" w:lineRule="exact"/>
        <w:ind w:right="140" w:rightChars="50" w:firstLine="560"/>
        <w:rPr>
          <w:rFonts w:ascii="宋体" w:hAnsi="宋体" w:cs="Courier New"/>
          <w:szCs w:val="28"/>
        </w:rPr>
      </w:pPr>
      <w:r>
        <w:rPr>
          <w:rFonts w:hint="eastAsia" w:ascii="宋体" w:hAnsi="宋体" w:cs="Courier New"/>
          <w:szCs w:val="28"/>
        </w:rPr>
        <w:t>本专业培养具有扎实的化学基础理论，掌握基本实验技能和现代分析测试技术，熟练掌握</w:t>
      </w:r>
      <w:r>
        <w:rPr>
          <w:rFonts w:hint="eastAsia" w:ascii="宋体" w:hAnsi="宋体" w:cs="Courier New"/>
          <w:szCs w:val="28"/>
          <w:lang w:eastAsia="zh-CN"/>
        </w:rPr>
        <w:t>精细</w:t>
      </w:r>
      <w:r>
        <w:rPr>
          <w:rFonts w:hint="eastAsia" w:ascii="宋体" w:hAnsi="宋体" w:cs="Courier New"/>
          <w:szCs w:val="28"/>
        </w:rPr>
        <w:t>化工专业基本知识与技能，培养具有高度的社会责任感和职业道德、良好的人文修养和心理素质，具有创新精神、团队意识、环保理念、能够从事化工、医药、食品、能源工业及相关领域的生产运行、工程设计、技术研发及经营管理等工作的高级职业技术人才。</w:t>
      </w:r>
    </w:p>
    <w:p w14:paraId="6D95BE12">
      <w:pPr>
        <w:spacing w:line="480" w:lineRule="exact"/>
        <w:ind w:right="140" w:rightChars="50" w:firstLine="562"/>
        <w:rPr>
          <w:rFonts w:ascii="宋体" w:hAnsi="宋体" w:cs="Courier New"/>
          <w:b/>
          <w:szCs w:val="28"/>
        </w:rPr>
      </w:pPr>
      <w:r>
        <w:rPr>
          <w:rFonts w:hint="eastAsia" w:ascii="宋体" w:hAnsi="宋体" w:cs="Courier New"/>
          <w:b/>
          <w:szCs w:val="28"/>
        </w:rPr>
        <w:t>3、专业内容及特点</w:t>
      </w:r>
    </w:p>
    <w:p w14:paraId="0D64ABB0">
      <w:pPr>
        <w:spacing w:line="480" w:lineRule="exact"/>
        <w:ind w:right="140" w:rightChars="50" w:firstLine="560"/>
        <w:rPr>
          <w:rFonts w:ascii="宋体" w:hAnsi="宋体" w:cs="Courier New"/>
          <w:szCs w:val="28"/>
        </w:rPr>
      </w:pPr>
      <w:r>
        <w:rPr>
          <w:rFonts w:hint="eastAsia" w:ascii="宋体" w:hAnsi="宋体" w:cs="Courier New"/>
          <w:szCs w:val="28"/>
        </w:rPr>
        <w:t>本专业是以就业为导向，从市场需要出发，紧密围绕培养高技能型人才为目标，以培养一线实际工作能力为核心，坚持知识、能力、素质协调发展和综合提高的原则，使学生在德、智、体、美等方面得到全面发展。大力推进“校企合作，工学结合”教学改革，全面实施“2+1”人才培养模式，培养实验操作技术能力强，面向生产、建设、管理、服务第一线的高素质技能型专门人才。融入职业资格标准，全面实施职业资格证书制度，学生毕业后可至少获得一个中级以上（蒸馏工、化工总控工、化产泵工、化学检验工等）职业资格证书。</w:t>
      </w:r>
    </w:p>
    <w:p w14:paraId="448D4EB3">
      <w:pPr>
        <w:spacing w:line="480" w:lineRule="exact"/>
        <w:ind w:right="140" w:rightChars="50" w:firstLine="562"/>
        <w:rPr>
          <w:rFonts w:ascii="宋体" w:hAnsi="宋体" w:cs="Courier New"/>
          <w:b/>
          <w:szCs w:val="28"/>
        </w:rPr>
      </w:pPr>
      <w:r>
        <w:rPr>
          <w:rFonts w:hint="eastAsia" w:ascii="宋体" w:hAnsi="宋体" w:cs="Courier New"/>
          <w:b/>
          <w:szCs w:val="28"/>
        </w:rPr>
        <w:t>（二）培养规格</w:t>
      </w:r>
    </w:p>
    <w:p w14:paraId="40DA0F8F">
      <w:pPr>
        <w:spacing w:line="480" w:lineRule="exact"/>
        <w:ind w:right="140" w:rightChars="50" w:firstLine="560"/>
        <w:rPr>
          <w:rFonts w:ascii="宋体" w:hAnsi="宋体" w:cs="Courier New"/>
          <w:color w:val="000000"/>
          <w:szCs w:val="28"/>
        </w:rPr>
      </w:pPr>
      <w:r>
        <w:rPr>
          <w:rFonts w:hint="eastAsia" w:ascii="宋体" w:hAnsi="宋体" w:cs="Courier New"/>
          <w:color w:val="000000"/>
          <w:szCs w:val="28"/>
        </w:rPr>
        <w:t>1、具有求真务实的职业道德，良好的身体素质与人文修养，能够在多学科协同发展的背景下适应独立和团队工作；</w:t>
      </w:r>
    </w:p>
    <w:p w14:paraId="31334769">
      <w:pPr>
        <w:spacing w:line="480" w:lineRule="exact"/>
        <w:ind w:right="140" w:rightChars="50" w:firstLine="560"/>
        <w:rPr>
          <w:rFonts w:ascii="宋体" w:hAnsi="宋体" w:cs="Courier New"/>
          <w:szCs w:val="28"/>
        </w:rPr>
      </w:pPr>
      <w:r>
        <w:rPr>
          <w:rFonts w:hint="eastAsia" w:ascii="宋体" w:hAnsi="宋体" w:cs="Courier New"/>
          <w:szCs w:val="28"/>
        </w:rPr>
        <w:t>2、掌握数学、物理、计算机等方面的基本理论和基本知识。</w:t>
      </w:r>
    </w:p>
    <w:p w14:paraId="061AA4F4">
      <w:pPr>
        <w:spacing w:line="480" w:lineRule="exact"/>
        <w:ind w:right="140" w:rightChars="50" w:firstLine="560"/>
        <w:rPr>
          <w:rFonts w:ascii="宋体" w:hAnsi="宋体" w:cs="Courier New"/>
          <w:szCs w:val="28"/>
        </w:rPr>
      </w:pPr>
      <w:r>
        <w:rPr>
          <w:rFonts w:hint="eastAsia" w:ascii="宋体" w:hAnsi="宋体" w:cs="Courier New"/>
          <w:szCs w:val="28"/>
        </w:rPr>
        <w:t>3、掌握无机化学、分析化学、有机化学、物理化学、</w:t>
      </w:r>
      <w:r>
        <w:rPr>
          <w:rFonts w:hint="eastAsia" w:ascii="宋体" w:hAnsi="宋体" w:cs="Courier New"/>
          <w:szCs w:val="28"/>
          <w:lang w:eastAsia="zh-CN"/>
        </w:rPr>
        <w:t>精细</w:t>
      </w:r>
      <w:r>
        <w:rPr>
          <w:rFonts w:hint="eastAsia" w:ascii="宋体" w:hAnsi="宋体" w:cs="Courier New"/>
          <w:szCs w:val="28"/>
        </w:rPr>
        <w:t>化工工艺学、化工单元操作、化工设备机械、应用有机合成、工业分析等方面的基本知识、基本理论和基本职业技能。</w:t>
      </w:r>
    </w:p>
    <w:p w14:paraId="08743291">
      <w:pPr>
        <w:spacing w:line="480" w:lineRule="exact"/>
        <w:ind w:right="140" w:rightChars="50" w:firstLine="560"/>
        <w:rPr>
          <w:rFonts w:ascii="宋体" w:hAnsi="宋体" w:cs="Courier New"/>
          <w:szCs w:val="28"/>
        </w:rPr>
      </w:pPr>
      <w:r>
        <w:rPr>
          <w:rFonts w:hint="eastAsia" w:ascii="宋体" w:hAnsi="宋体" w:cs="Courier New"/>
          <w:szCs w:val="28"/>
        </w:rPr>
        <w:t>4、掌握应用化学学科的理论前沿，熟悉本专业研究领域（方向）的最新发展动态、应用前景以及相关产业的发展概况。</w:t>
      </w:r>
    </w:p>
    <w:p w14:paraId="19EDFECB">
      <w:pPr>
        <w:spacing w:line="480" w:lineRule="exact"/>
        <w:ind w:right="140" w:rightChars="50" w:firstLine="560"/>
        <w:rPr>
          <w:rFonts w:ascii="宋体" w:hAnsi="宋体" w:cs="Courier New"/>
          <w:szCs w:val="28"/>
        </w:rPr>
      </w:pPr>
      <w:r>
        <w:rPr>
          <w:rFonts w:hint="eastAsia" w:ascii="宋体" w:hAnsi="宋体" w:cs="Courier New"/>
          <w:szCs w:val="28"/>
        </w:rPr>
        <w:t>5、能够从政策法规、技术经济、安全环保等多角度审视现代化工生产过程，具有相关专业技能。</w:t>
      </w:r>
    </w:p>
    <w:p w14:paraId="36FD4F5C">
      <w:pPr>
        <w:spacing w:line="480" w:lineRule="exact"/>
        <w:ind w:right="140" w:rightChars="50" w:firstLine="560"/>
        <w:rPr>
          <w:rFonts w:ascii="宋体" w:hAnsi="宋体" w:cs="Courier New"/>
          <w:szCs w:val="28"/>
        </w:rPr>
      </w:pPr>
      <w:r>
        <w:rPr>
          <w:rFonts w:hint="eastAsia" w:ascii="宋体" w:hAnsi="宋体" w:cs="Courier New"/>
          <w:szCs w:val="28"/>
        </w:rPr>
        <w:t>6、具有一定的创新精神，职业综合能力，能够通过终身学习满足化工、能源及相关领域职业发展的需要。</w:t>
      </w:r>
    </w:p>
    <w:p w14:paraId="53F9130F">
      <w:pPr>
        <w:spacing w:line="480" w:lineRule="exact"/>
        <w:ind w:right="140" w:rightChars="50" w:firstLine="562"/>
        <w:rPr>
          <w:rFonts w:ascii="宋体" w:hAnsi="宋体" w:cs="Courier New"/>
          <w:b/>
          <w:szCs w:val="28"/>
        </w:rPr>
      </w:pPr>
      <w:r>
        <w:rPr>
          <w:rFonts w:hint="eastAsia" w:ascii="宋体" w:hAnsi="宋体" w:cs="Courier New"/>
          <w:b/>
          <w:szCs w:val="28"/>
        </w:rPr>
        <w:t>（三）就业岗位</w:t>
      </w:r>
    </w:p>
    <w:p w14:paraId="3154ED49">
      <w:pPr>
        <w:spacing w:line="480" w:lineRule="exact"/>
        <w:ind w:right="140" w:rightChars="50" w:firstLine="560"/>
        <w:rPr>
          <w:rFonts w:ascii="宋体" w:hAnsi="宋体" w:cs="Courier New"/>
          <w:szCs w:val="28"/>
        </w:rPr>
      </w:pPr>
      <w:r>
        <w:rPr>
          <w:rFonts w:hint="eastAsia" w:ascii="宋体" w:hAnsi="宋体" w:cs="Courier New"/>
          <w:szCs w:val="28"/>
        </w:rPr>
        <w:t>本专业学生毕业后，主要面向</w:t>
      </w:r>
      <w:r>
        <w:rPr>
          <w:rFonts w:hint="eastAsia" w:ascii="宋体" w:hAnsi="宋体" w:cs="Courier New"/>
          <w:szCs w:val="28"/>
          <w:lang w:eastAsia="zh-CN"/>
        </w:rPr>
        <w:t>精细化工</w:t>
      </w:r>
      <w:r>
        <w:rPr>
          <w:rFonts w:hint="eastAsia" w:ascii="宋体" w:hAnsi="宋体" w:cs="Courier New"/>
          <w:szCs w:val="28"/>
        </w:rPr>
        <w:t>企业、</w:t>
      </w:r>
      <w:r>
        <w:rPr>
          <w:rFonts w:hint="eastAsia" w:ascii="宋体" w:hAnsi="宋体" w:cs="Courier New"/>
          <w:szCs w:val="28"/>
          <w:lang w:eastAsia="zh-CN"/>
        </w:rPr>
        <w:t>氟化工企业、</w:t>
      </w:r>
      <w:r>
        <w:rPr>
          <w:rFonts w:hint="eastAsia" w:ascii="宋体" w:hAnsi="宋体" w:cs="Courier New"/>
          <w:szCs w:val="28"/>
        </w:rPr>
        <w:t>产品质量检验监督部门、分析检验中心及化工、石油、环保、医药等部门，从事生产原材料和化学品、工业半成品及成品进行分析检验工作及管理工作，能进行化学分析实验室的筹建及管理工作。</w:t>
      </w:r>
    </w:p>
    <w:p w14:paraId="157CFB57">
      <w:pPr>
        <w:widowControl/>
        <w:spacing w:line="240" w:lineRule="auto"/>
        <w:ind w:firstLine="0" w:firstLineChars="0"/>
        <w:jc w:val="left"/>
        <w:rPr>
          <w:rFonts w:ascii="宋体" w:hAnsi="宋体"/>
          <w:b/>
          <w:szCs w:val="28"/>
        </w:rPr>
      </w:pPr>
      <w:r>
        <w:rPr>
          <w:rFonts w:ascii="宋体" w:hAnsi="宋体"/>
          <w:b/>
          <w:szCs w:val="28"/>
        </w:rPr>
        <w:br w:type="page"/>
      </w:r>
    </w:p>
    <w:p w14:paraId="20B621A9">
      <w:pPr>
        <w:tabs>
          <w:tab w:val="left" w:pos="0"/>
        </w:tabs>
        <w:snapToGrid w:val="0"/>
        <w:spacing w:line="480" w:lineRule="exact"/>
        <w:ind w:firstLine="562"/>
        <w:rPr>
          <w:rFonts w:ascii="宋体" w:hAnsi="宋体"/>
          <w:b/>
          <w:szCs w:val="28"/>
        </w:rPr>
      </w:pPr>
      <w:r>
        <w:rPr>
          <w:rFonts w:hint="eastAsia" w:ascii="宋体" w:hAnsi="宋体"/>
          <w:b/>
          <w:szCs w:val="28"/>
        </w:rPr>
        <w:t>三、职业能力要求</w:t>
      </w:r>
    </w:p>
    <w:p w14:paraId="2AE831E9">
      <w:pPr>
        <w:spacing w:line="480" w:lineRule="exact"/>
        <w:ind w:firstLine="480"/>
        <w:rPr>
          <w:rFonts w:ascii="宋体" w:hAnsi="宋体"/>
          <w:b/>
          <w:szCs w:val="28"/>
        </w:rPr>
      </w:pPr>
      <w:r>
        <w:rPr>
          <w:rFonts w:ascii="宋体" w:hAnsi="宋体" w:cs="Courier New"/>
          <w:color w:val="000000"/>
          <w:sz w:val="24"/>
        </w:rPr>
        <w:drawing>
          <wp:anchor distT="0" distB="0" distL="114300" distR="114300" simplePos="0" relativeHeight="251659264" behindDoc="0" locked="0" layoutInCell="1" allowOverlap="1">
            <wp:simplePos x="0" y="0"/>
            <wp:positionH relativeFrom="column">
              <wp:posOffset>-3175</wp:posOffset>
            </wp:positionH>
            <wp:positionV relativeFrom="paragraph">
              <wp:posOffset>581660</wp:posOffset>
            </wp:positionV>
            <wp:extent cx="5669280" cy="3077210"/>
            <wp:effectExtent l="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669280" cy="3077210"/>
                    </a:xfrm>
                    <a:prstGeom prst="rect">
                      <a:avLst/>
                    </a:prstGeom>
                    <a:noFill/>
                  </pic:spPr>
                </pic:pic>
              </a:graphicData>
            </a:graphic>
          </wp:anchor>
        </w:drawing>
      </w:r>
      <w:r>
        <w:rPr>
          <w:rFonts w:hint="eastAsia" w:ascii="宋体" w:hAnsi="宋体"/>
          <w:b/>
          <w:szCs w:val="28"/>
        </w:rPr>
        <w:t>1、</w:t>
      </w:r>
      <w:r>
        <w:rPr>
          <w:rFonts w:hint="eastAsia"/>
          <w:b/>
          <w:szCs w:val="28"/>
        </w:rPr>
        <w:t>素质与职业能力</w:t>
      </w:r>
      <w:r>
        <w:rPr>
          <w:rFonts w:hint="eastAsia" w:ascii="宋体" w:hAnsi="宋体"/>
          <w:b/>
          <w:szCs w:val="28"/>
        </w:rPr>
        <w:t>分解图</w:t>
      </w:r>
    </w:p>
    <w:p w14:paraId="07B9B4D6">
      <w:pPr>
        <w:spacing w:line="440" w:lineRule="exact"/>
        <w:ind w:firstLine="560"/>
        <w:jc w:val="left"/>
        <w:rPr>
          <w:rFonts w:ascii="宋体" w:hAnsi="宋体"/>
          <w:color w:val="000000"/>
          <w:szCs w:val="28"/>
        </w:rPr>
      </w:pPr>
      <w:r>
        <w:rPr>
          <w:rFonts w:hint="eastAsia" w:ascii="宋体" w:hAnsi="宋体" w:cs="Courier New"/>
          <w:color w:val="000000"/>
          <w:szCs w:val="28"/>
        </w:rPr>
        <w:t>2、</w:t>
      </w:r>
      <w:r>
        <w:rPr>
          <w:rFonts w:hint="eastAsia" w:ascii="宋体" w:hAnsi="宋体"/>
          <w:b/>
          <w:szCs w:val="28"/>
        </w:rPr>
        <w:t>职业能力培养分解表</w:t>
      </w:r>
    </w:p>
    <w:tbl>
      <w:tblPr>
        <w:tblStyle w:val="21"/>
        <w:tblW w:w="89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559"/>
        <w:gridCol w:w="3362"/>
        <w:gridCol w:w="3381"/>
      </w:tblGrid>
      <w:tr w14:paraId="6C79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 w:hRule="atLeast"/>
          <w:jc w:val="center"/>
        </w:trPr>
        <w:tc>
          <w:tcPr>
            <w:tcW w:w="2209" w:type="dxa"/>
            <w:gridSpan w:val="2"/>
            <w:shd w:val="clear" w:color="auto" w:fill="E6E6E6"/>
          </w:tcPr>
          <w:p w14:paraId="4922A285">
            <w:pPr>
              <w:spacing w:line="240" w:lineRule="auto"/>
              <w:ind w:firstLine="0" w:firstLineChars="0"/>
              <w:rPr>
                <w:rFonts w:ascii="宋体" w:hAnsi="宋体"/>
                <w:b/>
                <w:sz w:val="24"/>
              </w:rPr>
            </w:pPr>
            <w:r>
              <w:rPr>
                <w:rFonts w:hint="eastAsia" w:ascii="宋体" w:hAnsi="宋体"/>
                <w:b/>
                <w:sz w:val="24"/>
              </w:rPr>
              <w:t>分  类</w:t>
            </w:r>
          </w:p>
        </w:tc>
        <w:tc>
          <w:tcPr>
            <w:tcW w:w="3362" w:type="dxa"/>
            <w:shd w:val="clear" w:color="auto" w:fill="E6E6E6"/>
          </w:tcPr>
          <w:p w14:paraId="6E701557">
            <w:pPr>
              <w:spacing w:line="240" w:lineRule="auto"/>
              <w:ind w:firstLine="0" w:firstLineChars="0"/>
              <w:jc w:val="center"/>
              <w:rPr>
                <w:rFonts w:ascii="宋体" w:hAnsi="宋体"/>
                <w:b/>
                <w:sz w:val="24"/>
              </w:rPr>
            </w:pPr>
            <w:r>
              <w:rPr>
                <w:rFonts w:hint="eastAsia" w:ascii="宋体" w:hAnsi="宋体"/>
                <w:b/>
                <w:sz w:val="24"/>
              </w:rPr>
              <w:t>能 力 分 解</w:t>
            </w:r>
          </w:p>
        </w:tc>
        <w:tc>
          <w:tcPr>
            <w:tcW w:w="3381" w:type="dxa"/>
            <w:shd w:val="clear" w:color="auto" w:fill="E6E6E6"/>
          </w:tcPr>
          <w:p w14:paraId="546921CA">
            <w:pPr>
              <w:spacing w:line="240" w:lineRule="auto"/>
              <w:ind w:firstLine="0" w:firstLineChars="0"/>
              <w:jc w:val="center"/>
              <w:rPr>
                <w:rFonts w:ascii="宋体" w:hAnsi="宋体"/>
                <w:b/>
                <w:sz w:val="24"/>
              </w:rPr>
            </w:pPr>
            <w:r>
              <w:rPr>
                <w:rFonts w:hint="eastAsia" w:ascii="宋体" w:hAnsi="宋体"/>
                <w:b/>
                <w:sz w:val="24"/>
              </w:rPr>
              <w:t>对 应 课 群</w:t>
            </w:r>
          </w:p>
        </w:tc>
      </w:tr>
      <w:tr w14:paraId="72AA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7" w:hRule="atLeast"/>
          <w:jc w:val="center"/>
        </w:trPr>
        <w:tc>
          <w:tcPr>
            <w:tcW w:w="650" w:type="dxa"/>
            <w:vMerge w:val="restart"/>
            <w:vAlign w:val="center"/>
          </w:tcPr>
          <w:p w14:paraId="4FBB6C5C">
            <w:pPr>
              <w:spacing w:line="240" w:lineRule="auto"/>
              <w:ind w:firstLine="0" w:firstLineChars="0"/>
              <w:jc w:val="center"/>
              <w:rPr>
                <w:rFonts w:ascii="宋体" w:hAnsi="宋体"/>
                <w:szCs w:val="21"/>
              </w:rPr>
            </w:pPr>
            <w:r>
              <w:rPr>
                <w:rFonts w:hint="eastAsia" w:ascii="宋体" w:hAnsi="宋体"/>
                <w:szCs w:val="21"/>
              </w:rPr>
              <w:t>基本素质模块</w:t>
            </w:r>
          </w:p>
        </w:tc>
        <w:tc>
          <w:tcPr>
            <w:tcW w:w="1559" w:type="dxa"/>
            <w:vAlign w:val="center"/>
          </w:tcPr>
          <w:p w14:paraId="27E4C1E1">
            <w:pPr>
              <w:spacing w:line="240" w:lineRule="auto"/>
              <w:ind w:firstLine="0" w:firstLineChars="0"/>
              <w:rPr>
                <w:rFonts w:ascii="宋体" w:hAnsi="宋体"/>
                <w:szCs w:val="21"/>
              </w:rPr>
            </w:pPr>
            <w:r>
              <w:rPr>
                <w:rFonts w:hint="eastAsia" w:ascii="宋体" w:hAnsi="宋体"/>
                <w:szCs w:val="21"/>
              </w:rPr>
              <w:t>思想素质</w:t>
            </w:r>
          </w:p>
        </w:tc>
        <w:tc>
          <w:tcPr>
            <w:tcW w:w="3362" w:type="dxa"/>
            <w:vAlign w:val="center"/>
          </w:tcPr>
          <w:p w14:paraId="603FFA11">
            <w:pPr>
              <w:tabs>
                <w:tab w:val="left" w:pos="360"/>
              </w:tabs>
              <w:spacing w:line="240" w:lineRule="auto"/>
              <w:ind w:firstLine="0" w:firstLineChars="0"/>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较高的政治思想素质。</w:t>
            </w:r>
          </w:p>
          <w:p w14:paraId="68AF9B3B">
            <w:pPr>
              <w:tabs>
                <w:tab w:val="left" w:pos="360"/>
              </w:tabs>
              <w:spacing w:line="240" w:lineRule="auto"/>
              <w:ind w:firstLine="0" w:firstLineChars="0"/>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良好的道德品质。</w:t>
            </w:r>
          </w:p>
        </w:tc>
        <w:tc>
          <w:tcPr>
            <w:tcW w:w="3381" w:type="dxa"/>
            <w:vAlign w:val="center"/>
          </w:tcPr>
          <w:p w14:paraId="5C6227D3">
            <w:pPr>
              <w:spacing w:line="240" w:lineRule="auto"/>
              <w:ind w:firstLine="0" w:firstLineChars="0"/>
              <w:rPr>
                <w:rFonts w:ascii="宋体" w:hAnsi="宋体"/>
                <w:szCs w:val="21"/>
              </w:rPr>
            </w:pPr>
            <w:r>
              <w:rPr>
                <w:rFonts w:hint="eastAsia" w:ascii="宋体" w:hAnsi="宋体"/>
                <w:szCs w:val="21"/>
              </w:rPr>
              <w:t xml:space="preserve">毛概、邓理、“三个代表” </w:t>
            </w:r>
          </w:p>
          <w:p w14:paraId="6023DEE7">
            <w:pPr>
              <w:spacing w:line="240" w:lineRule="auto"/>
              <w:ind w:firstLine="0" w:firstLineChars="0"/>
              <w:rPr>
                <w:rFonts w:ascii="宋体" w:hAnsi="宋体"/>
                <w:szCs w:val="21"/>
              </w:rPr>
            </w:pPr>
            <w:r>
              <w:rPr>
                <w:rFonts w:hint="eastAsia" w:ascii="宋体" w:hAnsi="宋体"/>
                <w:szCs w:val="21"/>
              </w:rPr>
              <w:t>思想道德修养与法律基础</w:t>
            </w:r>
          </w:p>
          <w:p w14:paraId="6E9E5654">
            <w:pPr>
              <w:spacing w:line="240" w:lineRule="auto"/>
              <w:ind w:firstLine="0" w:firstLineChars="0"/>
              <w:rPr>
                <w:rFonts w:ascii="宋体" w:hAnsi="宋体"/>
                <w:szCs w:val="21"/>
              </w:rPr>
            </w:pPr>
            <w:r>
              <w:rPr>
                <w:rFonts w:hint="eastAsia" w:ascii="宋体" w:hAnsi="宋体"/>
                <w:szCs w:val="21"/>
              </w:rPr>
              <w:t>形势与政策</w:t>
            </w:r>
          </w:p>
        </w:tc>
      </w:tr>
      <w:tr w14:paraId="325C9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6" w:hRule="atLeast"/>
          <w:jc w:val="center"/>
        </w:trPr>
        <w:tc>
          <w:tcPr>
            <w:tcW w:w="650" w:type="dxa"/>
            <w:vMerge w:val="continue"/>
          </w:tcPr>
          <w:p w14:paraId="5783AFF9">
            <w:pPr>
              <w:spacing w:line="240" w:lineRule="auto"/>
              <w:ind w:firstLine="0" w:firstLineChars="0"/>
              <w:rPr>
                <w:rFonts w:ascii="宋体" w:hAnsi="宋体"/>
                <w:szCs w:val="21"/>
              </w:rPr>
            </w:pPr>
          </w:p>
        </w:tc>
        <w:tc>
          <w:tcPr>
            <w:tcW w:w="1559" w:type="dxa"/>
            <w:vAlign w:val="center"/>
          </w:tcPr>
          <w:p w14:paraId="10E8E66D">
            <w:pPr>
              <w:spacing w:line="240" w:lineRule="auto"/>
              <w:ind w:firstLine="0" w:firstLineChars="0"/>
              <w:rPr>
                <w:rFonts w:ascii="宋体" w:hAnsi="宋体"/>
                <w:szCs w:val="21"/>
              </w:rPr>
            </w:pPr>
            <w:r>
              <w:rPr>
                <w:rFonts w:hint="eastAsia" w:ascii="宋体" w:hAnsi="宋体"/>
                <w:szCs w:val="21"/>
              </w:rPr>
              <w:t>身心素质</w:t>
            </w:r>
          </w:p>
        </w:tc>
        <w:tc>
          <w:tcPr>
            <w:tcW w:w="3362" w:type="dxa"/>
            <w:vAlign w:val="center"/>
          </w:tcPr>
          <w:p w14:paraId="3C699F6D">
            <w:pPr>
              <w:tabs>
                <w:tab w:val="left" w:pos="360"/>
              </w:tabs>
              <w:spacing w:line="240" w:lineRule="auto"/>
              <w:ind w:firstLine="0" w:firstLineChars="0"/>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良好的身体行为素质</w:t>
            </w:r>
          </w:p>
          <w:p w14:paraId="5F145528">
            <w:pPr>
              <w:tabs>
                <w:tab w:val="left" w:pos="360"/>
              </w:tabs>
              <w:spacing w:line="240" w:lineRule="auto"/>
              <w:ind w:firstLine="0" w:firstLineChars="0"/>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健康的心理。</w:t>
            </w:r>
          </w:p>
          <w:p w14:paraId="69DF534F">
            <w:pPr>
              <w:spacing w:line="240" w:lineRule="auto"/>
              <w:ind w:firstLine="0" w:firstLineChars="0"/>
              <w:rPr>
                <w:rFonts w:ascii="宋体" w:hAnsi="宋体"/>
                <w:szCs w:val="21"/>
              </w:rPr>
            </w:pPr>
            <w:r>
              <w:rPr>
                <w:rFonts w:ascii="宋体" w:hAnsi="宋体"/>
                <w:szCs w:val="21"/>
              </w:rPr>
              <w:t>3.</w:t>
            </w:r>
            <w:r>
              <w:rPr>
                <w:rFonts w:hint="eastAsia" w:ascii="宋体" w:hAnsi="宋体"/>
                <w:szCs w:val="21"/>
              </w:rPr>
              <w:t>健全的精神结构</w:t>
            </w:r>
          </w:p>
        </w:tc>
        <w:tc>
          <w:tcPr>
            <w:tcW w:w="3381" w:type="dxa"/>
            <w:vAlign w:val="center"/>
          </w:tcPr>
          <w:p w14:paraId="47D83A6C">
            <w:pPr>
              <w:spacing w:line="240" w:lineRule="auto"/>
              <w:ind w:firstLine="0" w:firstLineChars="0"/>
              <w:rPr>
                <w:rFonts w:ascii="宋体" w:hAnsi="宋体"/>
                <w:szCs w:val="21"/>
              </w:rPr>
            </w:pPr>
            <w:r>
              <w:rPr>
                <w:rFonts w:hint="eastAsia" w:ascii="宋体" w:hAnsi="宋体"/>
                <w:szCs w:val="21"/>
              </w:rPr>
              <w:t>体育</w:t>
            </w:r>
          </w:p>
          <w:p w14:paraId="6B8F41D2">
            <w:pPr>
              <w:spacing w:line="240" w:lineRule="auto"/>
              <w:ind w:firstLine="0" w:firstLineChars="0"/>
              <w:rPr>
                <w:rFonts w:ascii="宋体" w:hAnsi="宋体"/>
                <w:szCs w:val="21"/>
              </w:rPr>
            </w:pPr>
            <w:r>
              <w:rPr>
                <w:rFonts w:hint="eastAsia" w:ascii="宋体" w:hAnsi="宋体"/>
                <w:szCs w:val="21"/>
              </w:rPr>
              <w:t>心理与生理健康教育</w:t>
            </w:r>
          </w:p>
          <w:p w14:paraId="2E9E4DDA">
            <w:pPr>
              <w:spacing w:line="240" w:lineRule="auto"/>
              <w:ind w:firstLine="0" w:firstLineChars="0"/>
              <w:rPr>
                <w:rFonts w:ascii="宋体" w:hAnsi="宋体"/>
                <w:szCs w:val="21"/>
              </w:rPr>
            </w:pPr>
            <w:r>
              <w:rPr>
                <w:rFonts w:hint="eastAsia" w:ascii="宋体" w:hAnsi="宋体"/>
                <w:szCs w:val="21"/>
              </w:rPr>
              <w:t>军事理论</w:t>
            </w:r>
          </w:p>
          <w:p w14:paraId="5E022C73">
            <w:pPr>
              <w:spacing w:line="240" w:lineRule="auto"/>
              <w:ind w:firstLine="0" w:firstLineChars="0"/>
              <w:rPr>
                <w:rFonts w:ascii="宋体" w:hAnsi="宋体"/>
                <w:szCs w:val="21"/>
              </w:rPr>
            </w:pPr>
            <w:r>
              <w:rPr>
                <w:rFonts w:hint="eastAsia" w:ascii="宋体" w:hAnsi="宋体"/>
                <w:szCs w:val="21"/>
              </w:rPr>
              <w:t>美育</w:t>
            </w:r>
          </w:p>
        </w:tc>
      </w:tr>
      <w:tr w14:paraId="06E4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650" w:type="dxa"/>
            <w:vMerge w:val="continue"/>
          </w:tcPr>
          <w:p w14:paraId="586C909A">
            <w:pPr>
              <w:spacing w:line="240" w:lineRule="auto"/>
              <w:ind w:firstLine="0" w:firstLineChars="0"/>
              <w:rPr>
                <w:rFonts w:ascii="宋体" w:hAnsi="宋体"/>
                <w:color w:val="FF0000"/>
                <w:szCs w:val="21"/>
              </w:rPr>
            </w:pPr>
          </w:p>
        </w:tc>
        <w:tc>
          <w:tcPr>
            <w:tcW w:w="1559" w:type="dxa"/>
            <w:vAlign w:val="center"/>
          </w:tcPr>
          <w:p w14:paraId="59AF85AA">
            <w:pPr>
              <w:spacing w:line="240" w:lineRule="auto"/>
              <w:ind w:firstLine="0" w:firstLineChars="0"/>
              <w:rPr>
                <w:rFonts w:ascii="宋体" w:hAnsi="宋体"/>
                <w:szCs w:val="21"/>
              </w:rPr>
            </w:pPr>
            <w:r>
              <w:rPr>
                <w:rFonts w:hint="eastAsia" w:ascii="宋体" w:hAnsi="宋体"/>
                <w:szCs w:val="21"/>
              </w:rPr>
              <w:t>文化素质</w:t>
            </w:r>
          </w:p>
        </w:tc>
        <w:tc>
          <w:tcPr>
            <w:tcW w:w="3362" w:type="dxa"/>
            <w:vAlign w:val="center"/>
          </w:tcPr>
          <w:p w14:paraId="13C25C84">
            <w:pPr>
              <w:spacing w:line="240" w:lineRule="auto"/>
              <w:ind w:firstLine="0" w:firstLineChars="0"/>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 xml:space="preserve">计算机应用能力 </w:t>
            </w:r>
          </w:p>
          <w:p w14:paraId="16070FA1">
            <w:pPr>
              <w:spacing w:line="240" w:lineRule="auto"/>
              <w:ind w:firstLine="0" w:firstLineChars="0"/>
              <w:rPr>
                <w:rFonts w:ascii="宋体" w:hAnsi="宋体"/>
                <w:szCs w:val="21"/>
              </w:rPr>
            </w:pPr>
            <w:r>
              <w:rPr>
                <w:rFonts w:ascii="宋体" w:hAnsi="宋体"/>
                <w:szCs w:val="21"/>
              </w:rPr>
              <w:t>2.</w:t>
            </w:r>
            <w:r>
              <w:rPr>
                <w:rFonts w:hint="eastAsia" w:ascii="宋体" w:hAnsi="宋体"/>
                <w:szCs w:val="21"/>
              </w:rPr>
              <w:t>英语能力</w:t>
            </w:r>
          </w:p>
          <w:p w14:paraId="43A12B1E">
            <w:pPr>
              <w:spacing w:line="240" w:lineRule="auto"/>
              <w:ind w:firstLine="0" w:firstLineChars="0"/>
              <w:rPr>
                <w:rFonts w:ascii="宋体" w:hAnsi="宋体"/>
                <w:szCs w:val="21"/>
              </w:rPr>
            </w:pPr>
            <w:r>
              <w:rPr>
                <w:rFonts w:ascii="宋体" w:hAnsi="宋体"/>
                <w:szCs w:val="21"/>
              </w:rPr>
              <w:t>3.</w:t>
            </w:r>
            <w:r>
              <w:rPr>
                <w:rFonts w:hint="eastAsia" w:ascii="宋体" w:hAnsi="宋体"/>
                <w:szCs w:val="21"/>
              </w:rPr>
              <w:t>职业素质与沟通能力</w:t>
            </w:r>
          </w:p>
        </w:tc>
        <w:tc>
          <w:tcPr>
            <w:tcW w:w="3381" w:type="dxa"/>
            <w:vAlign w:val="center"/>
          </w:tcPr>
          <w:p w14:paraId="0FF21321">
            <w:pPr>
              <w:spacing w:line="240" w:lineRule="auto"/>
              <w:ind w:firstLine="0" w:firstLineChars="0"/>
              <w:rPr>
                <w:rFonts w:ascii="宋体" w:hAnsi="宋体"/>
                <w:szCs w:val="21"/>
              </w:rPr>
            </w:pPr>
            <w:r>
              <w:rPr>
                <w:rFonts w:hint="eastAsia" w:ascii="宋体" w:hAnsi="宋体"/>
                <w:szCs w:val="21"/>
              </w:rPr>
              <w:t>公共计算机基础</w:t>
            </w:r>
          </w:p>
          <w:p w14:paraId="459867D3">
            <w:pPr>
              <w:spacing w:line="240" w:lineRule="auto"/>
              <w:ind w:firstLine="0" w:firstLineChars="0"/>
              <w:rPr>
                <w:rFonts w:ascii="宋体" w:hAnsi="宋体"/>
                <w:szCs w:val="21"/>
              </w:rPr>
            </w:pPr>
            <w:r>
              <w:rPr>
                <w:rFonts w:hint="eastAsia" w:ascii="宋体" w:hAnsi="宋体"/>
                <w:szCs w:val="21"/>
              </w:rPr>
              <w:t>大学英语</w:t>
            </w:r>
          </w:p>
          <w:p w14:paraId="26693A28">
            <w:pPr>
              <w:spacing w:line="240" w:lineRule="auto"/>
              <w:ind w:firstLine="0" w:firstLineChars="0"/>
              <w:rPr>
                <w:rFonts w:ascii="宋体" w:hAnsi="宋体"/>
                <w:szCs w:val="21"/>
              </w:rPr>
            </w:pPr>
            <w:r>
              <w:rPr>
                <w:rFonts w:hint="eastAsia" w:ascii="宋体" w:hAnsi="宋体"/>
                <w:szCs w:val="21"/>
              </w:rPr>
              <w:t>就业指导</w:t>
            </w:r>
          </w:p>
        </w:tc>
      </w:tr>
      <w:tr w14:paraId="6F6A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jc w:val="center"/>
        </w:trPr>
        <w:tc>
          <w:tcPr>
            <w:tcW w:w="650" w:type="dxa"/>
            <w:vMerge w:val="restart"/>
            <w:vAlign w:val="center"/>
          </w:tcPr>
          <w:p w14:paraId="0B81A714">
            <w:pPr>
              <w:spacing w:line="240" w:lineRule="auto"/>
              <w:ind w:firstLine="0" w:firstLineChars="0"/>
              <w:jc w:val="center"/>
              <w:rPr>
                <w:rFonts w:ascii="宋体" w:hAnsi="宋体"/>
                <w:szCs w:val="21"/>
              </w:rPr>
            </w:pPr>
            <w:r>
              <w:rPr>
                <w:rFonts w:hint="eastAsia" w:ascii="宋体" w:hAnsi="宋体"/>
                <w:szCs w:val="21"/>
              </w:rPr>
              <w:t>专业能力模块</w:t>
            </w:r>
          </w:p>
        </w:tc>
        <w:tc>
          <w:tcPr>
            <w:tcW w:w="1559" w:type="dxa"/>
            <w:vAlign w:val="center"/>
          </w:tcPr>
          <w:p w14:paraId="0A6AAE58">
            <w:pPr>
              <w:spacing w:line="240" w:lineRule="auto"/>
              <w:ind w:firstLine="0" w:firstLineChars="0"/>
              <w:rPr>
                <w:rFonts w:ascii="宋体" w:hAnsi="宋体"/>
                <w:szCs w:val="21"/>
              </w:rPr>
            </w:pPr>
            <w:r>
              <w:rPr>
                <w:rFonts w:hint="eastAsia"/>
                <w:szCs w:val="21"/>
              </w:rPr>
              <w:t>化工生产和实验操作能力</w:t>
            </w:r>
          </w:p>
        </w:tc>
        <w:tc>
          <w:tcPr>
            <w:tcW w:w="3362" w:type="dxa"/>
            <w:vAlign w:val="center"/>
          </w:tcPr>
          <w:p w14:paraId="5972664F">
            <w:pPr>
              <w:spacing w:line="240" w:lineRule="auto"/>
              <w:ind w:firstLine="0" w:firstLineChars="0"/>
              <w:rPr>
                <w:rFonts w:ascii="宋体" w:hAnsi="宋体"/>
                <w:szCs w:val="21"/>
              </w:rPr>
            </w:pPr>
            <w:r>
              <w:rPr>
                <w:rFonts w:hint="eastAsia" w:ascii="宋体" w:hAnsi="宋体"/>
                <w:szCs w:val="21"/>
              </w:rPr>
              <w:t>1、化工单元操作知识</w:t>
            </w:r>
          </w:p>
          <w:p w14:paraId="3BAAF200">
            <w:pPr>
              <w:spacing w:line="240" w:lineRule="auto"/>
              <w:ind w:firstLine="0" w:firstLineChars="0"/>
              <w:rPr>
                <w:rFonts w:ascii="宋体" w:hAnsi="宋体"/>
                <w:szCs w:val="21"/>
              </w:rPr>
            </w:pPr>
            <w:r>
              <w:rPr>
                <w:rFonts w:hint="eastAsia" w:ascii="宋体" w:hAnsi="宋体"/>
                <w:szCs w:val="21"/>
              </w:rPr>
              <w:t>2、化学实验操作能力</w:t>
            </w:r>
          </w:p>
        </w:tc>
        <w:tc>
          <w:tcPr>
            <w:tcW w:w="3381" w:type="dxa"/>
            <w:vAlign w:val="center"/>
          </w:tcPr>
          <w:p w14:paraId="745F2AAE">
            <w:pPr>
              <w:spacing w:line="240" w:lineRule="auto"/>
              <w:ind w:firstLine="0" w:firstLineChars="0"/>
              <w:rPr>
                <w:rFonts w:ascii="宋体" w:hAnsi="宋体"/>
                <w:szCs w:val="21"/>
              </w:rPr>
            </w:pPr>
            <w:r>
              <w:rPr>
                <w:rFonts w:hint="eastAsia" w:ascii="宋体" w:hAnsi="宋体"/>
                <w:szCs w:val="21"/>
              </w:rPr>
              <w:t>有机化学、无机化学、分析化学、物理化学、化工单元操作、化学实验操作基础、有机化学实验、无机化学实验、分析化学实验、物理化学实验、</w:t>
            </w:r>
            <w:r>
              <w:rPr>
                <w:rFonts w:hint="eastAsia" w:ascii="宋体" w:hAnsi="宋体"/>
                <w:szCs w:val="21"/>
                <w:lang w:val="en-US" w:eastAsia="zh-CN"/>
              </w:rPr>
              <w:t>DCS</w:t>
            </w:r>
            <w:r>
              <w:rPr>
                <w:rFonts w:hint="eastAsia" w:ascii="宋体" w:hAnsi="宋体"/>
                <w:szCs w:val="21"/>
              </w:rPr>
              <w:t>仿真操作实训、化工</w:t>
            </w:r>
            <w:r>
              <w:rPr>
                <w:rFonts w:hint="eastAsia" w:ascii="宋体" w:hAnsi="宋体"/>
                <w:szCs w:val="21"/>
                <w:lang w:eastAsia="zh-CN"/>
              </w:rPr>
              <w:t>单元操作实训</w:t>
            </w:r>
          </w:p>
        </w:tc>
      </w:tr>
      <w:tr w14:paraId="0795D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8" w:hRule="atLeast"/>
          <w:jc w:val="center"/>
        </w:trPr>
        <w:tc>
          <w:tcPr>
            <w:tcW w:w="650" w:type="dxa"/>
            <w:vMerge w:val="continue"/>
          </w:tcPr>
          <w:p w14:paraId="008B9932">
            <w:pPr>
              <w:spacing w:line="240" w:lineRule="auto"/>
              <w:ind w:firstLine="0" w:firstLineChars="0"/>
              <w:jc w:val="left"/>
              <w:rPr>
                <w:rFonts w:ascii="宋体" w:hAnsi="宋体"/>
                <w:szCs w:val="21"/>
              </w:rPr>
            </w:pPr>
          </w:p>
        </w:tc>
        <w:tc>
          <w:tcPr>
            <w:tcW w:w="1559" w:type="dxa"/>
            <w:vAlign w:val="center"/>
          </w:tcPr>
          <w:p w14:paraId="1414CBDB">
            <w:pPr>
              <w:spacing w:line="240" w:lineRule="auto"/>
              <w:ind w:firstLine="0" w:firstLineChars="0"/>
              <w:rPr>
                <w:rFonts w:ascii="宋体" w:hAnsi="宋体"/>
                <w:szCs w:val="21"/>
              </w:rPr>
            </w:pPr>
            <w:r>
              <w:rPr>
                <w:rFonts w:hint="eastAsia"/>
                <w:szCs w:val="21"/>
              </w:rPr>
              <w:t>化学分析及化工产品检验能力</w:t>
            </w:r>
          </w:p>
        </w:tc>
        <w:tc>
          <w:tcPr>
            <w:tcW w:w="3362" w:type="dxa"/>
            <w:vAlign w:val="center"/>
          </w:tcPr>
          <w:p w14:paraId="704C46BF">
            <w:pPr>
              <w:spacing w:line="240" w:lineRule="auto"/>
              <w:ind w:firstLine="0" w:firstLineChars="0"/>
              <w:rPr>
                <w:rFonts w:ascii="宋体" w:hAnsi="宋体"/>
                <w:szCs w:val="21"/>
              </w:rPr>
            </w:pPr>
            <w:r>
              <w:rPr>
                <w:rFonts w:hint="eastAsia" w:ascii="宋体" w:hAnsi="宋体"/>
                <w:szCs w:val="21"/>
              </w:rPr>
              <w:t>1、化学分析能力</w:t>
            </w:r>
          </w:p>
          <w:p w14:paraId="14EDCDFE">
            <w:pPr>
              <w:spacing w:line="240" w:lineRule="auto"/>
              <w:ind w:firstLine="0" w:firstLineChars="0"/>
              <w:rPr>
                <w:rFonts w:ascii="宋体" w:hAnsi="宋体"/>
                <w:szCs w:val="21"/>
              </w:rPr>
            </w:pPr>
            <w:r>
              <w:rPr>
                <w:rFonts w:hint="eastAsia" w:ascii="宋体" w:hAnsi="宋体"/>
                <w:szCs w:val="21"/>
              </w:rPr>
              <w:t>2、化工产品检验能力</w:t>
            </w:r>
          </w:p>
        </w:tc>
        <w:tc>
          <w:tcPr>
            <w:tcW w:w="3381" w:type="dxa"/>
            <w:vAlign w:val="center"/>
          </w:tcPr>
          <w:p w14:paraId="6A9B10D6">
            <w:pPr>
              <w:spacing w:line="240" w:lineRule="auto"/>
              <w:ind w:firstLine="0" w:firstLineChars="0"/>
              <w:rPr>
                <w:rFonts w:ascii="宋体" w:hAnsi="宋体"/>
                <w:szCs w:val="21"/>
                <w:highlight w:val="none"/>
              </w:rPr>
            </w:pPr>
            <w:r>
              <w:rPr>
                <w:rFonts w:hint="eastAsia" w:ascii="宋体" w:hAnsi="宋体"/>
                <w:szCs w:val="21"/>
                <w:highlight w:val="none"/>
              </w:rPr>
              <w:t>工业分析</w:t>
            </w:r>
          </w:p>
          <w:p w14:paraId="72EDF571">
            <w:pPr>
              <w:spacing w:line="240" w:lineRule="auto"/>
              <w:ind w:firstLine="0" w:firstLineChars="0"/>
              <w:rPr>
                <w:rFonts w:hint="eastAsia" w:ascii="宋体" w:hAnsi="宋体"/>
                <w:szCs w:val="21"/>
                <w:highlight w:val="none"/>
              </w:rPr>
            </w:pPr>
            <w:r>
              <w:rPr>
                <w:rFonts w:hint="eastAsia" w:ascii="宋体" w:hAnsi="宋体"/>
                <w:szCs w:val="21"/>
                <w:highlight w:val="none"/>
              </w:rPr>
              <w:t>有机合成实验</w:t>
            </w:r>
          </w:p>
          <w:p w14:paraId="7B5B0509">
            <w:pPr>
              <w:spacing w:line="240" w:lineRule="auto"/>
              <w:ind w:firstLine="0" w:firstLineChars="0"/>
              <w:rPr>
                <w:rFonts w:hint="eastAsia" w:ascii="宋体" w:hAnsi="宋体"/>
                <w:szCs w:val="21"/>
                <w:highlight w:val="none"/>
              </w:rPr>
            </w:pPr>
            <w:r>
              <w:rPr>
                <w:rFonts w:hint="eastAsia" w:ascii="宋体" w:hAnsi="宋体"/>
                <w:szCs w:val="21"/>
                <w:highlight w:val="none"/>
              </w:rPr>
              <w:t>精细化学品合成</w:t>
            </w:r>
          </w:p>
          <w:p w14:paraId="04FED03A">
            <w:pPr>
              <w:spacing w:line="240" w:lineRule="auto"/>
              <w:ind w:firstLine="0" w:firstLineChars="0"/>
              <w:rPr>
                <w:rFonts w:hint="eastAsia" w:ascii="宋体" w:hAnsi="宋体"/>
                <w:szCs w:val="21"/>
                <w:highlight w:val="none"/>
              </w:rPr>
            </w:pPr>
            <w:r>
              <w:rPr>
                <w:rFonts w:hint="eastAsia" w:ascii="宋体" w:hAnsi="宋体"/>
                <w:szCs w:val="21"/>
                <w:highlight w:val="none"/>
              </w:rPr>
              <w:t>精细化学品分析技术</w:t>
            </w:r>
          </w:p>
        </w:tc>
      </w:tr>
      <w:tr w14:paraId="545F3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5" w:hRule="atLeast"/>
          <w:jc w:val="center"/>
        </w:trPr>
        <w:tc>
          <w:tcPr>
            <w:tcW w:w="650" w:type="dxa"/>
            <w:vMerge w:val="continue"/>
          </w:tcPr>
          <w:p w14:paraId="3C190305">
            <w:pPr>
              <w:spacing w:line="240" w:lineRule="auto"/>
              <w:ind w:firstLine="0" w:firstLineChars="0"/>
              <w:jc w:val="left"/>
              <w:rPr>
                <w:rFonts w:ascii="宋体" w:hAnsi="宋体"/>
                <w:szCs w:val="21"/>
              </w:rPr>
            </w:pPr>
          </w:p>
        </w:tc>
        <w:tc>
          <w:tcPr>
            <w:tcW w:w="1559" w:type="dxa"/>
            <w:vAlign w:val="center"/>
          </w:tcPr>
          <w:p w14:paraId="14B5C501">
            <w:pPr>
              <w:spacing w:line="240" w:lineRule="auto"/>
              <w:ind w:firstLine="0" w:firstLineChars="0"/>
              <w:rPr>
                <w:rFonts w:hint="default" w:eastAsia="宋体"/>
                <w:szCs w:val="21"/>
                <w:lang w:val="en-US" w:eastAsia="zh-CN"/>
              </w:rPr>
            </w:pPr>
            <w:r>
              <w:rPr>
                <w:rFonts w:hint="eastAsia"/>
                <w:szCs w:val="21"/>
              </w:rPr>
              <w:t>化工工艺及设备</w:t>
            </w:r>
            <w:r>
              <w:rPr>
                <w:rFonts w:hint="eastAsia"/>
                <w:szCs w:val="21"/>
                <w:lang w:val="en-US" w:eastAsia="zh-CN"/>
              </w:rPr>
              <w:t>操作能力</w:t>
            </w:r>
          </w:p>
        </w:tc>
        <w:tc>
          <w:tcPr>
            <w:tcW w:w="3362" w:type="dxa"/>
            <w:vAlign w:val="center"/>
          </w:tcPr>
          <w:p w14:paraId="191FA315">
            <w:pPr>
              <w:spacing w:line="240" w:lineRule="auto"/>
              <w:ind w:firstLine="0" w:firstLineChars="0"/>
              <w:rPr>
                <w:rFonts w:ascii="宋体" w:hAnsi="宋体"/>
                <w:szCs w:val="21"/>
              </w:rPr>
            </w:pPr>
            <w:r>
              <w:rPr>
                <w:rFonts w:hint="eastAsia" w:ascii="宋体" w:hAnsi="宋体"/>
                <w:szCs w:val="21"/>
              </w:rPr>
              <w:t>1、化工工艺</w:t>
            </w:r>
            <w:r>
              <w:rPr>
                <w:rFonts w:hint="eastAsia" w:ascii="宋体" w:hAnsi="宋体"/>
                <w:szCs w:val="21"/>
                <w:lang w:val="en-US" w:eastAsia="zh-CN"/>
              </w:rPr>
              <w:t>操作</w:t>
            </w:r>
            <w:r>
              <w:rPr>
                <w:rFonts w:hint="eastAsia" w:ascii="宋体" w:hAnsi="宋体"/>
                <w:szCs w:val="21"/>
              </w:rPr>
              <w:t>能力</w:t>
            </w:r>
          </w:p>
          <w:p w14:paraId="687642FF">
            <w:pPr>
              <w:spacing w:line="240" w:lineRule="auto"/>
              <w:ind w:firstLine="0" w:firstLineChars="0"/>
              <w:rPr>
                <w:rFonts w:hint="default" w:ascii="宋体" w:hAnsi="宋体" w:eastAsia="宋体"/>
                <w:szCs w:val="21"/>
                <w:lang w:val="en-US" w:eastAsia="zh-CN"/>
              </w:rPr>
            </w:pPr>
            <w:r>
              <w:rPr>
                <w:rFonts w:hint="eastAsia" w:ascii="宋体" w:hAnsi="宋体"/>
                <w:szCs w:val="21"/>
              </w:rPr>
              <w:t>2、化工设备</w:t>
            </w:r>
            <w:r>
              <w:rPr>
                <w:rFonts w:hint="eastAsia" w:ascii="宋体" w:hAnsi="宋体"/>
                <w:szCs w:val="21"/>
                <w:lang w:val="en-US" w:eastAsia="zh-CN"/>
              </w:rPr>
              <w:t>操作与维护能力</w:t>
            </w:r>
          </w:p>
        </w:tc>
        <w:tc>
          <w:tcPr>
            <w:tcW w:w="3381" w:type="dxa"/>
            <w:vAlign w:val="center"/>
          </w:tcPr>
          <w:p w14:paraId="2D24171E">
            <w:pPr>
              <w:spacing w:line="240" w:lineRule="auto"/>
              <w:ind w:firstLine="0" w:firstLineChars="0"/>
              <w:rPr>
                <w:rFonts w:ascii="宋体" w:hAnsi="宋体"/>
                <w:szCs w:val="21"/>
                <w:highlight w:val="none"/>
              </w:rPr>
            </w:pPr>
            <w:r>
              <w:rPr>
                <w:rFonts w:hint="eastAsia" w:ascii="宋体" w:hAnsi="宋体"/>
                <w:szCs w:val="21"/>
                <w:highlight w:val="none"/>
              </w:rPr>
              <w:t>化工工艺学</w:t>
            </w:r>
          </w:p>
          <w:p w14:paraId="0AF7186F">
            <w:pPr>
              <w:spacing w:line="240" w:lineRule="auto"/>
              <w:ind w:firstLine="0" w:firstLineChars="0"/>
              <w:rPr>
                <w:rFonts w:hint="eastAsia" w:ascii="宋体" w:hAnsi="宋体"/>
                <w:szCs w:val="21"/>
                <w:highlight w:val="none"/>
              </w:rPr>
            </w:pPr>
            <w:r>
              <w:rPr>
                <w:rFonts w:hint="eastAsia" w:ascii="宋体" w:hAnsi="宋体"/>
                <w:szCs w:val="21"/>
                <w:highlight w:val="none"/>
              </w:rPr>
              <w:t>化工制图</w:t>
            </w:r>
          </w:p>
          <w:p w14:paraId="3553C6D5">
            <w:pPr>
              <w:spacing w:line="240" w:lineRule="auto"/>
              <w:ind w:firstLine="0" w:firstLineChars="0"/>
              <w:rPr>
                <w:rFonts w:hint="eastAsia" w:ascii="宋体" w:hAnsi="宋体"/>
                <w:szCs w:val="21"/>
                <w:highlight w:val="none"/>
              </w:rPr>
            </w:pPr>
            <w:r>
              <w:rPr>
                <w:rFonts w:hint="eastAsia" w:ascii="宋体" w:hAnsi="宋体"/>
                <w:szCs w:val="21"/>
                <w:highlight w:val="none"/>
              </w:rPr>
              <w:t>化工CAD</w:t>
            </w:r>
          </w:p>
          <w:p w14:paraId="486B0900">
            <w:pPr>
              <w:spacing w:line="240" w:lineRule="auto"/>
              <w:ind w:firstLine="0" w:firstLineChars="0"/>
              <w:rPr>
                <w:rFonts w:hint="eastAsia" w:ascii="宋体" w:hAnsi="宋体"/>
                <w:szCs w:val="21"/>
                <w:highlight w:val="none"/>
              </w:rPr>
            </w:pPr>
            <w:r>
              <w:rPr>
                <w:rFonts w:hint="eastAsia" w:ascii="宋体" w:hAnsi="宋体"/>
                <w:szCs w:val="21"/>
                <w:highlight w:val="none"/>
              </w:rPr>
              <w:t>精细化工反应过程与设备化工工艺实训</w:t>
            </w:r>
          </w:p>
          <w:p w14:paraId="76BB7A92">
            <w:pPr>
              <w:spacing w:line="240" w:lineRule="auto"/>
              <w:ind w:firstLine="0" w:firstLineChars="0"/>
              <w:rPr>
                <w:rFonts w:hint="eastAsia" w:ascii="宋体" w:hAnsi="宋体"/>
                <w:szCs w:val="21"/>
                <w:highlight w:val="none"/>
              </w:rPr>
            </w:pPr>
          </w:p>
        </w:tc>
      </w:tr>
      <w:tr w14:paraId="18AD5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650" w:type="dxa"/>
            <w:vMerge w:val="restart"/>
            <w:vAlign w:val="center"/>
          </w:tcPr>
          <w:p w14:paraId="23455977">
            <w:pPr>
              <w:spacing w:line="240" w:lineRule="auto"/>
              <w:ind w:firstLine="0" w:firstLineChars="0"/>
              <w:jc w:val="center"/>
              <w:rPr>
                <w:rFonts w:ascii="宋体" w:hAnsi="宋体"/>
                <w:szCs w:val="21"/>
              </w:rPr>
            </w:pPr>
            <w:r>
              <w:rPr>
                <w:rFonts w:hint="eastAsia" w:ascii="宋体" w:hAnsi="宋体"/>
                <w:szCs w:val="21"/>
              </w:rPr>
              <w:t>实践技能模块</w:t>
            </w:r>
          </w:p>
        </w:tc>
        <w:tc>
          <w:tcPr>
            <w:tcW w:w="1559" w:type="dxa"/>
            <w:vAlign w:val="center"/>
          </w:tcPr>
          <w:p w14:paraId="7DA58AB8">
            <w:pPr>
              <w:spacing w:line="240" w:lineRule="auto"/>
              <w:ind w:firstLine="0" w:firstLineChars="0"/>
              <w:rPr>
                <w:szCs w:val="21"/>
              </w:rPr>
            </w:pPr>
            <w:r>
              <w:rPr>
                <w:rFonts w:hint="eastAsia" w:ascii="Arial" w:hAnsi="Arial" w:cs="Arial"/>
                <w:kern w:val="0"/>
                <w:szCs w:val="21"/>
              </w:rPr>
              <w:t>锻炼学生的工程实践能力</w:t>
            </w:r>
          </w:p>
        </w:tc>
        <w:tc>
          <w:tcPr>
            <w:tcW w:w="3362" w:type="dxa"/>
            <w:vAlign w:val="center"/>
          </w:tcPr>
          <w:p w14:paraId="76547AB6">
            <w:pPr>
              <w:spacing w:line="240" w:lineRule="auto"/>
              <w:ind w:firstLine="0" w:firstLineChars="0"/>
              <w:rPr>
                <w:rFonts w:ascii="Arial" w:hAnsi="Arial" w:cs="Arial"/>
                <w:kern w:val="0"/>
                <w:szCs w:val="21"/>
              </w:rPr>
            </w:pPr>
            <w:r>
              <w:rPr>
                <w:rFonts w:hint="eastAsia" w:ascii="宋体" w:hAnsi="宋体"/>
                <w:szCs w:val="21"/>
              </w:rPr>
              <w:t>1.</w:t>
            </w:r>
            <w:r>
              <w:rPr>
                <w:rFonts w:hint="eastAsia" w:ascii="Arial" w:hAnsi="Arial" w:cs="Arial"/>
                <w:kern w:val="0"/>
                <w:szCs w:val="21"/>
              </w:rPr>
              <w:t>培养学生良好的沟通能力。</w:t>
            </w:r>
          </w:p>
          <w:p w14:paraId="31C0B0EA">
            <w:pPr>
              <w:spacing w:line="240" w:lineRule="auto"/>
              <w:ind w:firstLine="0" w:firstLineChars="0"/>
              <w:rPr>
                <w:rFonts w:ascii="Arial" w:hAnsi="Arial" w:cs="Arial"/>
                <w:kern w:val="0"/>
                <w:szCs w:val="21"/>
              </w:rPr>
            </w:pPr>
            <w:r>
              <w:rPr>
                <w:rFonts w:hint="eastAsia" w:ascii="Arial" w:hAnsi="Arial" w:cs="Arial"/>
                <w:kern w:val="0"/>
                <w:szCs w:val="21"/>
              </w:rPr>
              <w:t>2.能够适应各类相关公司的工作。</w:t>
            </w:r>
          </w:p>
          <w:p w14:paraId="52FE4055">
            <w:pPr>
              <w:spacing w:line="240" w:lineRule="auto"/>
              <w:ind w:firstLine="0" w:firstLineChars="0"/>
              <w:rPr>
                <w:rFonts w:ascii="Arial" w:hAnsi="Arial" w:cs="Arial"/>
                <w:kern w:val="0"/>
                <w:szCs w:val="21"/>
              </w:rPr>
            </w:pPr>
            <w:r>
              <w:rPr>
                <w:rFonts w:hint="eastAsia" w:ascii="Arial" w:hAnsi="Arial" w:cs="Arial"/>
                <w:kern w:val="0"/>
                <w:szCs w:val="21"/>
              </w:rPr>
              <w:t>3.锻炼学生的实际工作能力。</w:t>
            </w:r>
          </w:p>
        </w:tc>
        <w:tc>
          <w:tcPr>
            <w:tcW w:w="3381" w:type="dxa"/>
            <w:vAlign w:val="center"/>
          </w:tcPr>
          <w:p w14:paraId="29AA0E04">
            <w:pPr>
              <w:spacing w:line="240" w:lineRule="auto"/>
              <w:ind w:firstLine="0" w:firstLineChars="0"/>
              <w:rPr>
                <w:rFonts w:ascii="Arial" w:hAnsi="Arial" w:cs="Arial"/>
                <w:kern w:val="0"/>
                <w:szCs w:val="21"/>
              </w:rPr>
            </w:pPr>
            <w:r>
              <w:rPr>
                <w:rFonts w:hint="eastAsia" w:ascii="Arial" w:hAnsi="Arial" w:cs="Arial"/>
                <w:kern w:val="0"/>
                <w:szCs w:val="21"/>
              </w:rPr>
              <w:t>实训基地实习</w:t>
            </w:r>
          </w:p>
        </w:tc>
      </w:tr>
      <w:tr w14:paraId="46291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650" w:type="dxa"/>
            <w:vMerge w:val="continue"/>
          </w:tcPr>
          <w:p w14:paraId="676CF404">
            <w:pPr>
              <w:spacing w:line="240" w:lineRule="auto"/>
              <w:ind w:firstLine="0" w:firstLineChars="0"/>
              <w:jc w:val="left"/>
              <w:rPr>
                <w:rFonts w:ascii="宋体" w:hAnsi="宋体"/>
                <w:szCs w:val="21"/>
              </w:rPr>
            </w:pPr>
          </w:p>
        </w:tc>
        <w:tc>
          <w:tcPr>
            <w:tcW w:w="1559" w:type="dxa"/>
            <w:vAlign w:val="center"/>
          </w:tcPr>
          <w:p w14:paraId="442B2717">
            <w:pPr>
              <w:spacing w:line="240" w:lineRule="auto"/>
              <w:ind w:firstLine="0" w:firstLineChars="0"/>
              <w:rPr>
                <w:rFonts w:ascii="Arial" w:hAnsi="Arial" w:cs="Arial"/>
                <w:kern w:val="0"/>
                <w:szCs w:val="21"/>
              </w:rPr>
            </w:pPr>
            <w:r>
              <w:rPr>
                <w:rFonts w:hint="eastAsia" w:ascii="Arial" w:hAnsi="Arial" w:cs="Arial"/>
                <w:kern w:val="0"/>
                <w:szCs w:val="21"/>
              </w:rPr>
              <w:t>培养学生创新创业能力</w:t>
            </w:r>
          </w:p>
        </w:tc>
        <w:tc>
          <w:tcPr>
            <w:tcW w:w="3362" w:type="dxa"/>
            <w:vAlign w:val="center"/>
          </w:tcPr>
          <w:p w14:paraId="4103F2FF">
            <w:pPr>
              <w:spacing w:line="240" w:lineRule="auto"/>
              <w:ind w:firstLine="0" w:firstLineChars="0"/>
              <w:rPr>
                <w:rFonts w:ascii="Arial" w:hAnsi="Arial" w:cs="Arial"/>
                <w:kern w:val="0"/>
                <w:szCs w:val="21"/>
              </w:rPr>
            </w:pPr>
            <w:r>
              <w:rPr>
                <w:rFonts w:hint="eastAsia" w:ascii="宋体" w:hAnsi="宋体"/>
                <w:szCs w:val="21"/>
              </w:rPr>
              <w:t>1.</w:t>
            </w:r>
            <w:r>
              <w:rPr>
                <w:rFonts w:hint="eastAsia" w:ascii="Arial" w:hAnsi="Arial" w:cs="Arial"/>
                <w:kern w:val="0"/>
                <w:szCs w:val="21"/>
              </w:rPr>
              <w:t>培养学生良好的沟通能力。</w:t>
            </w:r>
          </w:p>
          <w:p w14:paraId="704F6FA8">
            <w:pPr>
              <w:spacing w:line="240" w:lineRule="auto"/>
              <w:ind w:firstLine="0" w:firstLineChars="0"/>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培养学生能够自主创新能力</w:t>
            </w:r>
          </w:p>
        </w:tc>
        <w:tc>
          <w:tcPr>
            <w:tcW w:w="3381" w:type="dxa"/>
            <w:vAlign w:val="center"/>
          </w:tcPr>
          <w:p w14:paraId="58C74C19">
            <w:pPr>
              <w:spacing w:line="240" w:lineRule="auto"/>
              <w:ind w:firstLine="0" w:firstLineChars="0"/>
              <w:rPr>
                <w:rFonts w:ascii="Arial" w:hAnsi="Arial" w:cs="Arial"/>
                <w:kern w:val="0"/>
                <w:szCs w:val="21"/>
              </w:rPr>
            </w:pPr>
            <w:r>
              <w:rPr>
                <w:rFonts w:hint="eastAsia" w:ascii="Arial" w:hAnsi="Arial" w:cs="Arial"/>
                <w:kern w:val="0"/>
                <w:szCs w:val="21"/>
              </w:rPr>
              <w:t>大学生创新创业课程</w:t>
            </w:r>
          </w:p>
          <w:p w14:paraId="56C9EA76">
            <w:pPr>
              <w:spacing w:line="240" w:lineRule="auto"/>
              <w:ind w:firstLine="0" w:firstLineChars="0"/>
              <w:rPr>
                <w:rFonts w:ascii="Arial" w:hAnsi="Arial" w:cs="Arial"/>
                <w:kern w:val="0"/>
                <w:szCs w:val="21"/>
              </w:rPr>
            </w:pPr>
            <w:r>
              <w:rPr>
                <w:rFonts w:hint="eastAsia" w:ascii="Arial" w:hAnsi="Arial" w:cs="Arial"/>
                <w:kern w:val="0"/>
                <w:szCs w:val="21"/>
              </w:rPr>
              <w:t>大学生就业实习讲座</w:t>
            </w:r>
          </w:p>
        </w:tc>
      </w:tr>
    </w:tbl>
    <w:p w14:paraId="11234AA8">
      <w:pPr>
        <w:ind w:right="140" w:rightChars="50" w:firstLine="562"/>
        <w:rPr>
          <w:rFonts w:ascii="宋体" w:hAnsi="宋体" w:cs="Courier New"/>
          <w:b/>
          <w:szCs w:val="28"/>
        </w:rPr>
      </w:pPr>
      <w:r>
        <w:rPr>
          <w:rFonts w:hint="eastAsia" w:ascii="宋体" w:hAnsi="宋体" w:cs="Courier New"/>
          <w:b/>
          <w:szCs w:val="28"/>
        </w:rPr>
        <w:t>四、主干课程设置及说明</w:t>
      </w:r>
    </w:p>
    <w:p w14:paraId="5EFB9026">
      <w:pPr>
        <w:spacing w:line="520" w:lineRule="exact"/>
        <w:ind w:right="140" w:rightChars="50" w:firstLine="562"/>
        <w:rPr>
          <w:rFonts w:ascii="宋体" w:hAnsi="宋体" w:cs="Courier New"/>
          <w:b/>
          <w:szCs w:val="28"/>
        </w:rPr>
      </w:pPr>
      <w:r>
        <w:rPr>
          <w:rFonts w:hint="eastAsia" w:ascii="宋体" w:hAnsi="宋体" w:cs="Courier New"/>
          <w:b/>
          <w:szCs w:val="28"/>
        </w:rPr>
        <w:t>（一）职业基本理论素质模块</w:t>
      </w:r>
    </w:p>
    <w:p w14:paraId="4D04C837">
      <w:pPr>
        <w:numPr>
          <w:ilvl w:val="0"/>
          <w:numId w:val="1"/>
        </w:numPr>
        <w:spacing w:line="520" w:lineRule="exact"/>
        <w:ind w:left="0" w:leftChars="0" w:right="140" w:rightChars="50" w:firstLine="454" w:firstLineChars="0"/>
        <w:rPr>
          <w:rFonts w:ascii="宋体" w:hAnsi="宋体" w:cs="Courier New"/>
          <w:szCs w:val="28"/>
        </w:rPr>
      </w:pPr>
      <w:r>
        <w:rPr>
          <w:rFonts w:hint="eastAsia" w:ascii="宋体" w:hAnsi="宋体" w:cs="Courier New"/>
          <w:szCs w:val="28"/>
        </w:rPr>
        <w:t>有机化学</w:t>
      </w:r>
    </w:p>
    <w:p w14:paraId="74E0A9BC">
      <w:pPr>
        <w:spacing w:line="520" w:lineRule="exact"/>
        <w:ind w:right="140" w:rightChars="50" w:firstLine="560"/>
        <w:rPr>
          <w:rFonts w:ascii="宋体" w:hAnsi="宋体" w:cs="Courier New"/>
          <w:szCs w:val="28"/>
        </w:rPr>
      </w:pPr>
      <w:r>
        <w:rPr>
          <w:rFonts w:hint="eastAsia" w:ascii="宋体" w:hAnsi="宋体" w:cs="Courier New"/>
          <w:szCs w:val="28"/>
        </w:rPr>
        <w:t>本课程的主要内容包括有机化合物的基础理论和重要类型，有机化合物的命名、结构、性质，有机化学反应的基本类型及规律，重要有机化合物的合成方法等。</w:t>
      </w:r>
    </w:p>
    <w:p w14:paraId="060CCDCC">
      <w:pPr>
        <w:numPr>
          <w:ilvl w:val="0"/>
          <w:numId w:val="1"/>
        </w:numPr>
        <w:tabs>
          <w:tab w:val="left" w:pos="833"/>
        </w:tabs>
        <w:spacing w:line="520" w:lineRule="exact"/>
        <w:ind w:left="0" w:leftChars="0" w:right="140" w:rightChars="50" w:firstLine="454" w:firstLineChars="0"/>
        <w:rPr>
          <w:rFonts w:ascii="宋体" w:hAnsi="宋体" w:cs="Courier New"/>
          <w:szCs w:val="28"/>
        </w:rPr>
      </w:pPr>
      <w:r>
        <w:rPr>
          <w:rFonts w:hint="eastAsia" w:ascii="宋体" w:hAnsi="宋体" w:cs="Courier New"/>
          <w:szCs w:val="28"/>
          <w:lang w:eastAsia="zh-CN"/>
        </w:rPr>
        <w:tab/>
      </w:r>
      <w:r>
        <w:rPr>
          <w:rFonts w:hint="eastAsia" w:ascii="宋体" w:hAnsi="宋体" w:cs="Courier New"/>
          <w:szCs w:val="28"/>
        </w:rPr>
        <w:t>无机化学</w:t>
      </w:r>
    </w:p>
    <w:p w14:paraId="2328EE44">
      <w:pPr>
        <w:spacing w:line="520" w:lineRule="exact"/>
        <w:ind w:right="140" w:rightChars="50" w:firstLine="560"/>
        <w:rPr>
          <w:rFonts w:ascii="宋体" w:hAnsi="宋体" w:cs="Courier New"/>
          <w:szCs w:val="28"/>
        </w:rPr>
      </w:pPr>
      <w:r>
        <w:rPr>
          <w:rFonts w:hint="eastAsia" w:ascii="宋体" w:hAnsi="宋体" w:cs="Courier New"/>
          <w:szCs w:val="28"/>
        </w:rPr>
        <w:t>本课程的主要内容包括元素周期律、近代物质结构理论、化学热力学、化学反应速率、化学平衡、电解质溶液、氧化还原反应等无机化学基础知识和基本原理，重要元素和化合物知识等。</w:t>
      </w:r>
    </w:p>
    <w:p w14:paraId="25C139BA">
      <w:pPr>
        <w:numPr>
          <w:ilvl w:val="0"/>
          <w:numId w:val="1"/>
        </w:numPr>
        <w:spacing w:line="520" w:lineRule="exact"/>
        <w:ind w:left="0" w:leftChars="0" w:right="140" w:rightChars="50" w:firstLine="454" w:firstLineChars="0"/>
        <w:rPr>
          <w:rFonts w:ascii="宋体" w:hAnsi="宋体" w:cs="Courier New"/>
          <w:szCs w:val="28"/>
        </w:rPr>
      </w:pPr>
      <w:r>
        <w:rPr>
          <w:rFonts w:hint="eastAsia" w:ascii="宋体" w:hAnsi="宋体" w:cs="Courier New"/>
          <w:szCs w:val="28"/>
        </w:rPr>
        <w:t>分析化学：</w:t>
      </w:r>
    </w:p>
    <w:p w14:paraId="016C48EB">
      <w:pPr>
        <w:spacing w:line="520" w:lineRule="exact"/>
        <w:ind w:right="140" w:rightChars="50" w:firstLine="560"/>
        <w:rPr>
          <w:rFonts w:ascii="宋体" w:hAnsi="宋体" w:cs="Courier New"/>
          <w:szCs w:val="28"/>
        </w:rPr>
      </w:pPr>
      <w:r>
        <w:rPr>
          <w:rFonts w:hint="eastAsia" w:ascii="宋体" w:hAnsi="宋体" w:cs="Courier New"/>
          <w:szCs w:val="28"/>
        </w:rPr>
        <w:t>本课程的主要内容包括运用化学和物理学的原理定性和定量分析化合物组成的基本方法及基础理论。设置本课程的目的是使学生较系统地掌握分析化学的基本原理和方法、化学分析的基本操作和技能。</w:t>
      </w:r>
    </w:p>
    <w:p w14:paraId="2145E9C4">
      <w:pPr>
        <w:numPr>
          <w:ilvl w:val="0"/>
          <w:numId w:val="1"/>
        </w:numPr>
        <w:ind w:left="0" w:leftChars="0" w:right="140" w:rightChars="50" w:firstLine="454" w:firstLineChars="0"/>
        <w:rPr>
          <w:rFonts w:ascii="宋体" w:hAnsi="宋体" w:cs="Courier New"/>
          <w:szCs w:val="28"/>
        </w:rPr>
      </w:pPr>
      <w:r>
        <w:rPr>
          <w:rFonts w:hint="eastAsia" w:ascii="宋体" w:hAnsi="宋体" w:cs="Courier New"/>
          <w:szCs w:val="28"/>
        </w:rPr>
        <w:t>物理化学</w:t>
      </w:r>
    </w:p>
    <w:p w14:paraId="6DF7E267">
      <w:pPr>
        <w:numPr>
          <w:ilvl w:val="0"/>
          <w:numId w:val="0"/>
        </w:numPr>
        <w:ind w:right="140" w:rightChars="50" w:firstLine="420" w:firstLineChars="0"/>
        <w:rPr>
          <w:rFonts w:ascii="宋体" w:hAnsi="宋体" w:cs="Courier New"/>
          <w:szCs w:val="28"/>
        </w:rPr>
      </w:pPr>
      <w:r>
        <w:rPr>
          <w:rFonts w:hint="eastAsia" w:ascii="宋体" w:hAnsi="宋体" w:cs="Courier New"/>
          <w:szCs w:val="28"/>
        </w:rPr>
        <w:t>本课程的主要内容包括化学热力学、电化学、化学动力学、表面现象和胶体化学及有关实验等。设置本课程的目的是使学生理解和掌握化学热力学、化学动力学、电化学和胶体化学等基础知识和基础理论。</w:t>
      </w:r>
    </w:p>
    <w:p w14:paraId="1951B569">
      <w:pPr>
        <w:numPr>
          <w:ilvl w:val="0"/>
          <w:numId w:val="1"/>
        </w:numPr>
        <w:ind w:left="0" w:leftChars="0" w:right="140" w:rightChars="50" w:firstLine="454" w:firstLineChars="0"/>
        <w:rPr>
          <w:rFonts w:ascii="宋体" w:hAnsi="宋体" w:cs="Courier New"/>
          <w:szCs w:val="28"/>
        </w:rPr>
      </w:pPr>
      <w:r>
        <w:rPr>
          <w:rFonts w:hint="eastAsia" w:ascii="宋体" w:hAnsi="宋体" w:cs="Courier New"/>
          <w:szCs w:val="28"/>
        </w:rPr>
        <w:t>化工单元操作</w:t>
      </w:r>
    </w:p>
    <w:p w14:paraId="66C1E241">
      <w:pPr>
        <w:ind w:right="140" w:rightChars="50" w:firstLine="560"/>
        <w:rPr>
          <w:rFonts w:ascii="宋体" w:hAnsi="宋体" w:cs="Courier New"/>
          <w:szCs w:val="28"/>
        </w:rPr>
      </w:pPr>
      <w:r>
        <w:rPr>
          <w:rFonts w:hint="eastAsia" w:ascii="宋体" w:hAnsi="宋体" w:cs="Courier New"/>
          <w:szCs w:val="28"/>
        </w:rPr>
        <w:t>本课程主要包括流体流动、传热、传质过程的基本原理及主要单元操作的典型设备构造、操作原理、过程计算、设备选型及实验研究方法等。</w:t>
      </w:r>
    </w:p>
    <w:p w14:paraId="545DE8DC">
      <w:pPr>
        <w:numPr>
          <w:ilvl w:val="0"/>
          <w:numId w:val="1"/>
        </w:numPr>
        <w:ind w:left="0" w:leftChars="0" w:right="140" w:rightChars="50" w:firstLine="454" w:firstLineChars="0"/>
        <w:rPr>
          <w:rFonts w:ascii="宋体" w:hAnsi="宋体" w:cs="Courier New"/>
          <w:szCs w:val="28"/>
        </w:rPr>
      </w:pPr>
      <w:r>
        <w:rPr>
          <w:rFonts w:hint="eastAsia" w:ascii="宋体" w:hAnsi="宋体" w:cs="Courier New"/>
          <w:szCs w:val="28"/>
        </w:rPr>
        <w:t>化学实验操作基础</w:t>
      </w:r>
    </w:p>
    <w:p w14:paraId="6A90D4DE">
      <w:pPr>
        <w:ind w:right="140" w:rightChars="50" w:firstLine="560"/>
        <w:rPr>
          <w:rFonts w:hint="eastAsia" w:ascii="宋体" w:hAnsi="宋体"/>
          <w:szCs w:val="21"/>
          <w:highlight w:val="yellow"/>
        </w:rPr>
      </w:pPr>
      <w:r>
        <w:rPr>
          <w:rFonts w:hint="eastAsia" w:ascii="宋体" w:hAnsi="宋体" w:cs="Courier New"/>
          <w:szCs w:val="28"/>
        </w:rPr>
        <w:t>本课程将无机化学实验、有机化学实验和分析化学实验统一起来，内容包括化学实验的基础知识；常用仪器简介；无机化学实验；有机化学实验；分析化学实验；综合性、设计性、研究性实验等。着重介绍化学实验的基础知识和基本操作技能，增加综合性、设计性和研究性实验内容，以培养学生的综合技能。</w:t>
      </w:r>
    </w:p>
    <w:p w14:paraId="3CB94473">
      <w:pPr>
        <w:numPr>
          <w:ilvl w:val="0"/>
          <w:numId w:val="1"/>
        </w:numPr>
        <w:ind w:left="0" w:leftChars="0" w:right="140" w:rightChars="50" w:firstLine="454" w:firstLineChars="0"/>
        <w:rPr>
          <w:rFonts w:ascii="宋体" w:hAnsi="宋体" w:cs="Courier New"/>
          <w:szCs w:val="28"/>
        </w:rPr>
      </w:pPr>
      <w:r>
        <w:rPr>
          <w:rFonts w:hint="eastAsia" w:ascii="宋体" w:hAnsi="宋体" w:cs="Courier New"/>
          <w:szCs w:val="28"/>
        </w:rPr>
        <w:t>化工制图</w:t>
      </w:r>
    </w:p>
    <w:p w14:paraId="6FB7AC9D">
      <w:pPr>
        <w:ind w:right="140" w:rightChars="50" w:firstLine="560"/>
        <w:rPr>
          <w:rFonts w:ascii="宋体" w:hAnsi="宋体" w:cs="Courier New"/>
          <w:szCs w:val="28"/>
        </w:rPr>
      </w:pPr>
      <w:r>
        <w:rPr>
          <w:rFonts w:hint="eastAsia" w:ascii="宋体" w:hAnsi="宋体" w:cs="Courier New"/>
          <w:szCs w:val="28"/>
        </w:rPr>
        <w:t>图纸是工程界的语言，本本课程根据化工行业对化工类专业高职高专毕业生制图基础理论的要求设置，教学内容除包括一般机械制图的基础知识以外，还包括化工工艺流程图、化工设备图、厂房建筑图简介、设备安装图和管道安装图以及常压容器设计的基本知识。掌握正投影的基本理论和作图方法，了解轴测投影的基本知识，掌握基本画法；能正确地使用绘图工具和仪器，掌握零部件的一般测绘方法；能够正确地绘图和阅读中等复杂程度以上的零件图和装配图；熟悉制造业标准，会使用有关手册。</w:t>
      </w:r>
    </w:p>
    <w:p w14:paraId="1FD726B6">
      <w:pPr>
        <w:numPr>
          <w:ilvl w:val="0"/>
          <w:numId w:val="1"/>
        </w:numPr>
        <w:ind w:left="0" w:leftChars="0" w:right="140" w:rightChars="50" w:firstLine="454" w:firstLineChars="0"/>
        <w:rPr>
          <w:rFonts w:ascii="宋体" w:hAnsi="宋体" w:cs="Courier New"/>
          <w:szCs w:val="28"/>
          <w:highlight w:val="none"/>
        </w:rPr>
      </w:pPr>
      <w:r>
        <w:rPr>
          <w:rFonts w:hint="eastAsia" w:ascii="宋体" w:hAnsi="宋体"/>
          <w:szCs w:val="21"/>
          <w:highlight w:val="none"/>
        </w:rPr>
        <w:t>精细化工设备</w:t>
      </w:r>
      <w:r>
        <w:rPr>
          <w:rFonts w:hint="eastAsia" w:ascii="宋体" w:hAnsi="宋体"/>
          <w:szCs w:val="21"/>
          <w:highlight w:val="none"/>
          <w:lang w:val="en-US" w:eastAsia="zh-CN"/>
        </w:rPr>
        <w:t>操作与维护</w:t>
      </w:r>
    </w:p>
    <w:p w14:paraId="18ABB562">
      <w:pPr>
        <w:ind w:right="140" w:rightChars="50" w:firstLine="560"/>
        <w:rPr>
          <w:rFonts w:ascii="宋体" w:hAnsi="宋体" w:cs="Courier New"/>
          <w:szCs w:val="28"/>
        </w:rPr>
      </w:pPr>
      <w:r>
        <w:rPr>
          <w:rFonts w:hint="eastAsia" w:ascii="宋体" w:hAnsi="宋体" w:cs="Courier New"/>
          <w:szCs w:val="28"/>
        </w:rPr>
        <w:t>本课程是应用化工专业的技术基础课。内容分为三部分：第一部分为工程力学基础，介绍了力学的基本概念，物体的受力分析和静力学平衡条件，材料的力学性能；杆件在基本变形和组合变形下强度和刚度计算及疲劳失效的概念。第二部分为化工设备设计基础，介绍了容器的基本知识及分类；回转壳体的类型、特点、计算方法及设计要求；化工设备标准零部件的结构及选用；第三部分为机械传动，介绍了化工设备中常用的几种传动装置的工作原理、失效形式、结构和设计计算方法。</w:t>
      </w:r>
    </w:p>
    <w:p w14:paraId="087B4D9D">
      <w:pPr>
        <w:numPr>
          <w:ilvl w:val="0"/>
          <w:numId w:val="1"/>
        </w:numPr>
        <w:tabs>
          <w:tab w:val="left" w:pos="833"/>
        </w:tabs>
        <w:spacing w:line="520" w:lineRule="exact"/>
        <w:ind w:left="0" w:leftChars="0" w:right="140" w:rightChars="50" w:firstLine="454" w:firstLineChars="0"/>
        <w:jc w:val="left"/>
        <w:rPr>
          <w:rFonts w:ascii="宋体" w:hAnsi="宋体" w:cs="Courier New"/>
          <w:szCs w:val="28"/>
        </w:rPr>
      </w:pPr>
      <w:r>
        <w:rPr>
          <w:rFonts w:hint="eastAsia" w:ascii="宋体" w:hAnsi="宋体" w:cs="Courier New"/>
          <w:szCs w:val="28"/>
        </w:rPr>
        <w:t>化学工艺学</w:t>
      </w:r>
    </w:p>
    <w:p w14:paraId="5CAEBCD8">
      <w:pPr>
        <w:ind w:right="140" w:rightChars="50" w:firstLine="560"/>
        <w:rPr>
          <w:rFonts w:ascii="宋体" w:hAnsi="宋体" w:cs="Courier New"/>
          <w:szCs w:val="28"/>
        </w:rPr>
      </w:pPr>
      <w:r>
        <w:rPr>
          <w:rFonts w:hint="eastAsia" w:ascii="宋体" w:hAnsi="宋体" w:cs="Courier New"/>
          <w:szCs w:val="28"/>
        </w:rPr>
        <w:t>本课程的主要内容包括化学工艺的一般原理，几种典型化工产品的生产过程。设置本课程的目的是使学生初步掌握化工过程的基本原理和基本计算方法，了解某些典型化工设备的性能、用途及操作原理，熟悉某些化工产品的生产过程和工艺特点。</w:t>
      </w:r>
    </w:p>
    <w:p w14:paraId="7553C002">
      <w:pPr>
        <w:numPr>
          <w:ilvl w:val="0"/>
          <w:numId w:val="1"/>
        </w:numPr>
        <w:ind w:left="0" w:leftChars="0" w:right="140" w:rightChars="50" w:firstLine="454" w:firstLineChars="0"/>
        <w:jc w:val="left"/>
        <w:rPr>
          <w:rFonts w:ascii="宋体" w:hAnsi="宋体" w:cs="Courier New"/>
          <w:szCs w:val="28"/>
        </w:rPr>
      </w:pPr>
      <w:r>
        <w:rPr>
          <w:rFonts w:hint="eastAsia" w:ascii="宋体" w:hAnsi="宋体" w:cs="Courier New"/>
          <w:szCs w:val="28"/>
        </w:rPr>
        <w:t>应用有机合成</w:t>
      </w:r>
    </w:p>
    <w:p w14:paraId="5649332C">
      <w:pPr>
        <w:ind w:right="140" w:rightChars="50" w:firstLine="560"/>
        <w:rPr>
          <w:rFonts w:ascii="宋体" w:hAnsi="宋体" w:cs="Courier New"/>
          <w:szCs w:val="28"/>
        </w:rPr>
      </w:pPr>
      <w:r>
        <w:rPr>
          <w:rFonts w:hint="eastAsia" w:ascii="宋体" w:hAnsi="宋体" w:cs="Courier New"/>
          <w:szCs w:val="28"/>
        </w:rPr>
        <w:t>本课程注重有机合成理论知识的传授，化合物合成路线的设计。通过本课程的学习，使学生在原有有机化学知识的基础上，加深对有机化学反应类型的理解，掌握各类有机物的制备方法，提高学生分析问题和解决问题的能力，培养学生严谨的科学作风。</w:t>
      </w:r>
    </w:p>
    <w:p w14:paraId="4EDEE067">
      <w:pPr>
        <w:numPr>
          <w:ilvl w:val="0"/>
          <w:numId w:val="1"/>
        </w:numPr>
        <w:ind w:left="0" w:leftChars="0" w:right="140" w:rightChars="50" w:firstLine="454" w:firstLineChars="0"/>
        <w:rPr>
          <w:rFonts w:hint="eastAsia" w:ascii="宋体" w:hAnsi="宋体" w:cs="Courier New"/>
          <w:szCs w:val="28"/>
        </w:rPr>
      </w:pPr>
      <w:r>
        <w:rPr>
          <w:rFonts w:hint="eastAsia" w:ascii="宋体" w:hAnsi="宋体" w:cs="Courier New"/>
          <w:szCs w:val="28"/>
        </w:rPr>
        <w:t>精细化学品分析技术</w:t>
      </w:r>
    </w:p>
    <w:p w14:paraId="02BEBF07">
      <w:pPr>
        <w:ind w:right="140" w:rightChars="50" w:firstLine="560"/>
        <w:rPr>
          <w:rFonts w:ascii="宋体" w:hAnsi="宋体" w:cs="Courier New"/>
          <w:szCs w:val="28"/>
        </w:rPr>
      </w:pPr>
      <w:r>
        <w:rPr>
          <w:rFonts w:hint="eastAsia" w:ascii="宋体" w:hAnsi="宋体" w:cs="Courier New"/>
          <w:szCs w:val="28"/>
        </w:rPr>
        <w:t>精细化学品分析技术是在分析化学基本理论和基本操作技能的基础上，针对工业生产中的资源开发、原料选择、生产过程控制、产品质量检验、三废处理和环境监测等一系列分析测定过程而设置的一门内容广泛、实用性强的课程。</w:t>
      </w:r>
    </w:p>
    <w:p w14:paraId="7946F195">
      <w:pPr>
        <w:numPr>
          <w:ilvl w:val="0"/>
          <w:numId w:val="1"/>
        </w:numPr>
        <w:ind w:left="0" w:leftChars="0" w:right="140" w:rightChars="50" w:firstLine="454" w:firstLineChars="0"/>
        <w:jc w:val="left"/>
        <w:rPr>
          <w:rFonts w:ascii="宋体" w:hAnsi="宋体" w:cs="Courier New"/>
          <w:szCs w:val="28"/>
        </w:rPr>
      </w:pPr>
      <w:r>
        <w:rPr>
          <w:rFonts w:hint="eastAsia" w:ascii="宋体" w:hAnsi="宋体" w:cs="Courier New"/>
          <w:szCs w:val="28"/>
        </w:rPr>
        <w:t>化工仪表及自动化</w:t>
      </w:r>
    </w:p>
    <w:p w14:paraId="0E8BD9BC">
      <w:pPr>
        <w:ind w:right="140" w:rightChars="50" w:firstLine="560"/>
        <w:rPr>
          <w:rFonts w:ascii="宋体" w:hAnsi="宋体" w:cs="Courier New"/>
          <w:szCs w:val="28"/>
        </w:rPr>
      </w:pPr>
      <w:r>
        <w:rPr>
          <w:rFonts w:hint="eastAsia" w:ascii="宋体" w:hAnsi="宋体" w:cs="Courier New"/>
          <w:szCs w:val="28"/>
        </w:rPr>
        <w:t>化工仪表及自动化课程是</w:t>
      </w:r>
      <w:r>
        <w:rPr>
          <w:rFonts w:hint="eastAsia" w:ascii="宋体" w:hAnsi="宋体" w:cs="Courier New"/>
          <w:szCs w:val="28"/>
          <w:lang w:eastAsia="zh-CN"/>
        </w:rPr>
        <w:t>精细化工技术</w:t>
      </w:r>
      <w:r>
        <w:rPr>
          <w:rFonts w:hint="eastAsia" w:ascii="宋体" w:hAnsi="宋体" w:cs="Courier New"/>
          <w:szCs w:val="28"/>
        </w:rPr>
        <w:t>专业的专业核心课程，它应用自动控制、仪器仪表及计算机学科的理论与技术服务于化工等相关领域及学科。本门课程的主要内容包括化工自动化的基本概念、自动控制对象特性、传感器、自动控制器、执行器等。</w:t>
      </w:r>
    </w:p>
    <w:p w14:paraId="5871AB3D">
      <w:pPr>
        <w:ind w:right="140" w:rightChars="50" w:firstLine="562"/>
        <w:rPr>
          <w:rFonts w:ascii="宋体" w:hAnsi="宋体" w:cs="Courier New"/>
          <w:b/>
          <w:szCs w:val="28"/>
        </w:rPr>
      </w:pPr>
      <w:r>
        <w:rPr>
          <w:rFonts w:hint="eastAsia" w:ascii="宋体" w:hAnsi="宋体" w:cs="Courier New"/>
          <w:b/>
          <w:szCs w:val="28"/>
        </w:rPr>
        <w:t>（二）职业技能模块</w:t>
      </w:r>
    </w:p>
    <w:p w14:paraId="793978EF">
      <w:pPr>
        <w:numPr>
          <w:ilvl w:val="0"/>
          <w:numId w:val="2"/>
        </w:numPr>
        <w:ind w:left="0" w:leftChars="0" w:right="140" w:rightChars="50" w:firstLine="454" w:firstLineChars="0"/>
        <w:rPr>
          <w:rFonts w:ascii="宋体" w:hAnsi="宋体" w:cs="Courier New"/>
          <w:szCs w:val="28"/>
        </w:rPr>
      </w:pPr>
      <w:r>
        <w:rPr>
          <w:rFonts w:hint="eastAsia" w:ascii="宋体" w:hAnsi="宋体" w:cs="Courier New"/>
          <w:szCs w:val="28"/>
        </w:rPr>
        <w:t>有机化学实验</w:t>
      </w:r>
    </w:p>
    <w:p w14:paraId="4BE3D170">
      <w:pPr>
        <w:ind w:right="140" w:rightChars="50" w:firstLine="560"/>
        <w:rPr>
          <w:rFonts w:ascii="宋体" w:hAnsi="宋体" w:cs="Courier New"/>
          <w:szCs w:val="28"/>
        </w:rPr>
      </w:pPr>
      <w:r>
        <w:rPr>
          <w:rFonts w:hint="eastAsia" w:ascii="宋体" w:hAnsi="宋体" w:cs="Courier New"/>
          <w:szCs w:val="28"/>
        </w:rPr>
        <w:t>本课程的主要内容包括有机化学实验的基本操作技能、有机化合物的性质实验、重要有机化合物的制备、分离、提纯和鉴定等。设置本课程的主要目的是使学生掌握有机化学实验一般知识，掌握基本操作技能以及重要有机化合物的制备、分离、提纯和鉴定方法，加深对有机化学中基本概念、基础理论及有机化合物结构和性能的理解，培养学生独立操作、准确观察现象、合理处理数据、准确描绘仪器装置图、撰写实验报告、查阅化学手册以及初步的设计实验的能力。本课程应加强实验基本操作技能训练，注重培养学生观察、分析问题和独立进行实验操作的能力。</w:t>
      </w:r>
    </w:p>
    <w:p w14:paraId="4164646F">
      <w:pPr>
        <w:numPr>
          <w:ilvl w:val="0"/>
          <w:numId w:val="2"/>
        </w:numPr>
        <w:ind w:left="0" w:leftChars="0" w:right="140" w:rightChars="50" w:firstLine="454" w:firstLineChars="0"/>
        <w:rPr>
          <w:rFonts w:ascii="宋体" w:hAnsi="宋体" w:cs="Courier New"/>
          <w:szCs w:val="28"/>
        </w:rPr>
      </w:pPr>
      <w:r>
        <w:rPr>
          <w:rFonts w:hint="eastAsia" w:ascii="宋体" w:hAnsi="宋体" w:cs="Courier New"/>
          <w:szCs w:val="28"/>
        </w:rPr>
        <w:t>无机化学实验</w:t>
      </w:r>
    </w:p>
    <w:p w14:paraId="6229E31C">
      <w:pPr>
        <w:ind w:right="140" w:rightChars="50" w:firstLine="560"/>
        <w:rPr>
          <w:rFonts w:ascii="宋体" w:hAnsi="宋体" w:cs="Courier New"/>
          <w:szCs w:val="28"/>
        </w:rPr>
      </w:pPr>
      <w:r>
        <w:rPr>
          <w:rFonts w:hint="eastAsia" w:ascii="宋体" w:hAnsi="宋体" w:cs="Courier New"/>
          <w:szCs w:val="28"/>
        </w:rPr>
        <w:t>本课程的主要内容包括基本操作实验、无机化学基本原理实验、元素化合物性质实验和制备实验等。设置本课程的主要目的是使学生掌握无机化学实验的基本方法和基本操作技能，加深对基本概念、基础理论、元素及其化合物的性质和反应性能的理解，熟悉主要无机物的制备和提纯，学会某些常数的测定方法；培养学生实事求是的科学态度，正确观察、记录、分析、总结、归纳实验现象，合理处理实验数据，绘制仪器装置简图和撰写实验报告，查阅手册，设计和改进简单实验以及处理一般事故的能力。</w:t>
      </w:r>
    </w:p>
    <w:p w14:paraId="058E5086">
      <w:pPr>
        <w:numPr>
          <w:ilvl w:val="0"/>
          <w:numId w:val="2"/>
        </w:numPr>
        <w:ind w:left="0" w:leftChars="0" w:right="140" w:rightChars="50" w:firstLine="454" w:firstLineChars="0"/>
        <w:rPr>
          <w:rFonts w:ascii="宋体" w:hAnsi="宋体" w:cs="Courier New"/>
          <w:szCs w:val="28"/>
        </w:rPr>
      </w:pPr>
      <w:r>
        <w:rPr>
          <w:rFonts w:hint="eastAsia" w:ascii="宋体" w:hAnsi="宋体" w:cs="Courier New"/>
          <w:szCs w:val="28"/>
        </w:rPr>
        <w:t>精细化学品分析实验</w:t>
      </w:r>
    </w:p>
    <w:p w14:paraId="32BAB57F">
      <w:pPr>
        <w:ind w:right="140" w:rightChars="50" w:firstLine="560"/>
        <w:rPr>
          <w:rFonts w:ascii="宋体" w:hAnsi="宋体" w:cs="Courier New"/>
          <w:szCs w:val="28"/>
        </w:rPr>
      </w:pPr>
      <w:r>
        <w:rPr>
          <w:rFonts w:hint="eastAsia" w:ascii="宋体" w:hAnsi="宋体" w:cs="Courier New"/>
          <w:szCs w:val="28"/>
        </w:rPr>
        <w:t>内容包括：分析化学实验的一般知识；精细化学品实验基本操作和常用实验仪器的使用方法；实验数据的采集与处理及计算机应用基础；无机离子定性和有机定性分析实验；定量化学分析和仪器分析实验；在环保分析、镀液分析、药物分析、食品分析等方面的应用型以及综合性、设计性实验。</w:t>
      </w:r>
    </w:p>
    <w:p w14:paraId="1179FB38">
      <w:pPr>
        <w:numPr>
          <w:ilvl w:val="0"/>
          <w:numId w:val="2"/>
        </w:numPr>
        <w:ind w:left="0" w:leftChars="0" w:right="140" w:rightChars="50" w:firstLine="454" w:firstLineChars="0"/>
        <w:rPr>
          <w:rFonts w:ascii="宋体" w:hAnsi="宋体" w:cs="Courier New"/>
          <w:szCs w:val="28"/>
        </w:rPr>
      </w:pPr>
      <w:r>
        <w:rPr>
          <w:rFonts w:hint="eastAsia" w:ascii="宋体" w:hAnsi="宋体" w:cs="Courier New"/>
          <w:szCs w:val="28"/>
        </w:rPr>
        <w:t>物理化学实验</w:t>
      </w:r>
    </w:p>
    <w:p w14:paraId="7E278618">
      <w:pPr>
        <w:ind w:right="140" w:rightChars="50" w:firstLine="560"/>
        <w:rPr>
          <w:rFonts w:ascii="宋体" w:hAnsi="宋体" w:cs="Courier New"/>
          <w:szCs w:val="28"/>
        </w:rPr>
      </w:pPr>
      <w:r>
        <w:rPr>
          <w:rFonts w:hint="eastAsia" w:ascii="宋体" w:hAnsi="宋体" w:cs="Courier New"/>
          <w:szCs w:val="28"/>
        </w:rPr>
        <w:t>主要实验内容包括：物质热力学性质的测定、电解质溶液性质和电化学性质的测定、化学反应动力学性质的测定、界面与胶体性质的测定、结构化学实验等。</w:t>
      </w:r>
    </w:p>
    <w:p w14:paraId="5304A51B">
      <w:pPr>
        <w:numPr>
          <w:ilvl w:val="0"/>
          <w:numId w:val="2"/>
        </w:numPr>
        <w:ind w:left="0" w:leftChars="0" w:right="140" w:rightChars="50" w:firstLine="454" w:firstLineChars="0"/>
        <w:rPr>
          <w:rFonts w:ascii="宋体" w:hAnsi="宋体" w:cs="Courier New"/>
          <w:szCs w:val="28"/>
        </w:rPr>
      </w:pPr>
      <w:r>
        <w:rPr>
          <w:rFonts w:hint="eastAsia" w:ascii="宋体" w:hAnsi="宋体" w:cs="Courier New"/>
          <w:szCs w:val="28"/>
        </w:rPr>
        <w:t>化工</w:t>
      </w:r>
      <w:r>
        <w:rPr>
          <w:rFonts w:hint="eastAsia" w:ascii="宋体" w:hAnsi="宋体" w:cs="Courier New"/>
          <w:szCs w:val="28"/>
          <w:lang w:val="en-US" w:eastAsia="zh-CN"/>
        </w:rPr>
        <w:t>DCS</w:t>
      </w:r>
      <w:r>
        <w:rPr>
          <w:rFonts w:hint="eastAsia" w:ascii="宋体" w:hAnsi="宋体" w:cs="Courier New"/>
          <w:szCs w:val="28"/>
        </w:rPr>
        <w:t>仿真操作实训</w:t>
      </w:r>
    </w:p>
    <w:p w14:paraId="33E71790">
      <w:pPr>
        <w:ind w:right="140" w:rightChars="50" w:firstLine="560"/>
        <w:rPr>
          <w:rFonts w:ascii="宋体" w:hAnsi="宋体" w:cs="Courier New"/>
          <w:szCs w:val="28"/>
        </w:rPr>
      </w:pPr>
      <w:r>
        <w:rPr>
          <w:rFonts w:hint="eastAsia" w:ascii="宋体" w:hAnsi="宋体" w:cs="Courier New"/>
          <w:szCs w:val="28"/>
        </w:rPr>
        <w:t>本课程以介绍化工仿真操作为主线，注重培养学生规范操作、团结合作、安全生产、节能环保等职业素质，通过运用实物、半实物或数字化动态模型，深层次地提示教学内容，使学生得到必要的分析能力训练和技能训练，为更好地适应工作岗位的需要打下坚实基础。</w:t>
      </w:r>
    </w:p>
    <w:p w14:paraId="79BFCC15">
      <w:pPr>
        <w:numPr>
          <w:ilvl w:val="0"/>
          <w:numId w:val="2"/>
        </w:numPr>
        <w:ind w:left="0" w:leftChars="0" w:right="140" w:rightChars="50" w:firstLine="454" w:firstLineChars="0"/>
        <w:rPr>
          <w:rFonts w:ascii="宋体" w:hAnsi="宋体" w:cs="Courier New"/>
          <w:szCs w:val="28"/>
        </w:rPr>
      </w:pPr>
      <w:r>
        <w:rPr>
          <w:rFonts w:hint="eastAsia" w:ascii="宋体" w:hAnsi="宋体" w:cs="Courier New"/>
          <w:szCs w:val="28"/>
        </w:rPr>
        <w:t>化工单元操作实训</w:t>
      </w:r>
    </w:p>
    <w:p w14:paraId="0036603E">
      <w:pPr>
        <w:ind w:right="140" w:rightChars="50" w:firstLine="560"/>
        <w:rPr>
          <w:rFonts w:ascii="宋体" w:hAnsi="宋体" w:cs="Courier New"/>
          <w:szCs w:val="28"/>
        </w:rPr>
      </w:pPr>
      <w:r>
        <w:rPr>
          <w:rFonts w:hint="eastAsia" w:ascii="宋体" w:hAnsi="宋体" w:cs="Courier New"/>
          <w:szCs w:val="28"/>
        </w:rPr>
        <w:t>本课程内容包括实验数据误差的产生与估算，实验数据处理，化工实验参数的测量方法及实验室常用仪器的使用，化工原理基本实验，化工原理综合、设计实验，化工原理创新与研究实验、计算机数据处理、实验报告的编写等，突出了实践性和工程性，重在对学生进行实验研究过程中多种能力和素质的培养训练。</w:t>
      </w:r>
    </w:p>
    <w:p w14:paraId="47FEC5E3">
      <w:pPr>
        <w:numPr>
          <w:ilvl w:val="0"/>
          <w:numId w:val="2"/>
        </w:numPr>
        <w:ind w:left="0" w:leftChars="0" w:right="140" w:rightChars="50" w:firstLine="454" w:firstLineChars="0"/>
        <w:rPr>
          <w:rFonts w:hint="eastAsia" w:ascii="宋体" w:hAnsi="宋体" w:eastAsia="宋体" w:cs="Courier New"/>
          <w:szCs w:val="28"/>
          <w:lang w:eastAsia="zh-CN"/>
        </w:rPr>
      </w:pPr>
      <w:r>
        <w:rPr>
          <w:rFonts w:hint="eastAsia" w:ascii="宋体" w:hAnsi="宋体" w:cs="Courier New"/>
          <w:szCs w:val="28"/>
        </w:rPr>
        <w:t>化学工艺</w:t>
      </w:r>
      <w:r>
        <w:rPr>
          <w:rFonts w:hint="eastAsia" w:ascii="宋体" w:hAnsi="宋体" w:cs="Courier New"/>
          <w:szCs w:val="28"/>
          <w:lang w:eastAsia="zh-CN"/>
        </w:rPr>
        <w:t>实训</w:t>
      </w:r>
    </w:p>
    <w:p w14:paraId="10B28FE0">
      <w:pPr>
        <w:ind w:right="140" w:rightChars="50" w:firstLine="560"/>
        <w:rPr>
          <w:rFonts w:ascii="宋体" w:hAnsi="宋体" w:cs="Courier New"/>
          <w:szCs w:val="28"/>
        </w:rPr>
      </w:pPr>
      <w:r>
        <w:rPr>
          <w:rFonts w:hint="eastAsia" w:ascii="宋体" w:hAnsi="宋体" w:cs="Courier New"/>
          <w:szCs w:val="28"/>
        </w:rPr>
        <w:t>通过本课程的学习，要求学生掌握化工工艺过程中的一些基本原理和实验方法；在实验过程中结合所学的理论知识，认真观察实验过程中所出现的各种现象，记录实验数据，对实验结果进行正确的计算和评价，以培养学生理论联系实际和科学思维和逻辑思维能力。</w:t>
      </w:r>
    </w:p>
    <w:p w14:paraId="7A0A66A8">
      <w:pPr>
        <w:numPr>
          <w:ilvl w:val="0"/>
          <w:numId w:val="2"/>
        </w:numPr>
        <w:ind w:left="0" w:leftChars="0" w:right="140" w:rightChars="50" w:firstLine="454" w:firstLineChars="0"/>
        <w:rPr>
          <w:rFonts w:hint="eastAsia" w:ascii="宋体" w:hAnsi="宋体" w:cs="Courier New"/>
          <w:szCs w:val="28"/>
        </w:rPr>
      </w:pPr>
      <w:r>
        <w:rPr>
          <w:rFonts w:hint="eastAsia" w:ascii="宋体" w:hAnsi="宋体" w:cs="Courier New"/>
          <w:szCs w:val="28"/>
        </w:rPr>
        <w:t>精细化工反应过程与设备</w:t>
      </w:r>
    </w:p>
    <w:p w14:paraId="1378CD38">
      <w:pPr>
        <w:numPr>
          <w:ilvl w:val="0"/>
          <w:numId w:val="0"/>
        </w:numPr>
        <w:ind w:right="140" w:rightChars="50" w:firstLine="420" w:firstLineChars="0"/>
        <w:rPr>
          <w:rFonts w:ascii="宋体" w:hAnsi="宋体" w:cs="Courier New"/>
          <w:szCs w:val="28"/>
        </w:rPr>
      </w:pPr>
      <w:r>
        <w:rPr>
          <w:rFonts w:hint="eastAsia" w:ascii="宋体" w:hAnsi="宋体" w:cs="Courier New"/>
          <w:szCs w:val="28"/>
        </w:rPr>
        <w:t>本课程综合运用《</w:t>
      </w:r>
      <w:r>
        <w:rPr>
          <w:rFonts w:hint="eastAsia" w:ascii="宋体" w:hAnsi="宋体" w:cs="Courier New"/>
          <w:szCs w:val="28"/>
          <w:lang w:eastAsia="zh-CN"/>
        </w:rPr>
        <w:t>精细化工反应过程与设备</w:t>
      </w:r>
      <w:r>
        <w:rPr>
          <w:rFonts w:hint="eastAsia" w:ascii="宋体" w:hAnsi="宋体" w:cs="Courier New"/>
          <w:szCs w:val="28"/>
        </w:rPr>
        <w:t>》及其相关理论知识，巩固和强化有关机械课程的基本理论和基本知识；培养学生对化工工程设计的技能以及独立分析问题、解决问题的能力。树立明确的设计思想，掌握化工单元设备设计的基本方法初步骤，为今后创造性地设计化工设备及机械打下一定的基础；培养学生熟悉、查问并综合运用各种有关的设计手册、规范、标难、图册等设计技术资料；进一步培养学生识图、制图、运算、编写设计说明书等基本技能；完成作为工程技术人员在机械设计方面所必备的设计能力的基本训练。</w:t>
      </w:r>
    </w:p>
    <w:p w14:paraId="6EDBD6A4">
      <w:pPr>
        <w:numPr>
          <w:ilvl w:val="0"/>
          <w:numId w:val="2"/>
        </w:numPr>
        <w:ind w:left="0" w:leftChars="0" w:right="140" w:rightChars="50" w:firstLine="454" w:firstLineChars="0"/>
        <w:rPr>
          <w:rFonts w:ascii="宋体" w:hAnsi="宋体" w:cs="Courier New"/>
          <w:szCs w:val="28"/>
        </w:rPr>
      </w:pPr>
      <w:r>
        <w:rPr>
          <w:rFonts w:hint="eastAsia" w:ascii="宋体" w:hAnsi="宋体" w:cs="Courier New"/>
          <w:szCs w:val="28"/>
        </w:rPr>
        <w:t>有机合成实验</w:t>
      </w:r>
    </w:p>
    <w:p w14:paraId="553F7950">
      <w:pPr>
        <w:ind w:right="140" w:rightChars="50" w:firstLine="560"/>
        <w:rPr>
          <w:rFonts w:ascii="宋体" w:hAnsi="宋体" w:cs="Courier New"/>
          <w:szCs w:val="28"/>
        </w:rPr>
      </w:pPr>
      <w:r>
        <w:rPr>
          <w:rFonts w:hint="eastAsia" w:ascii="宋体" w:hAnsi="宋体" w:cs="Courier New"/>
          <w:szCs w:val="28"/>
        </w:rPr>
        <w:t>有机合成实验工作主要内容是根据有机合成原理，利用有机合成基本设备和技术，按照有机合成设计方案，完成具有代表性的单元反应、基本操作和多步有机合成实验。以半微量或微量的规模合成、分离和鉴定某些有机化合物，并能利用一些著名有机反应进行多步骤合成等。</w:t>
      </w:r>
    </w:p>
    <w:p w14:paraId="74BFFA2B">
      <w:pPr>
        <w:ind w:right="140" w:rightChars="50" w:firstLine="562"/>
        <w:rPr>
          <w:rFonts w:ascii="宋体" w:hAnsi="宋体" w:cs="Courier New"/>
          <w:b/>
          <w:szCs w:val="28"/>
        </w:rPr>
      </w:pPr>
      <w:r>
        <w:rPr>
          <w:rFonts w:hint="eastAsia" w:ascii="宋体" w:hAnsi="宋体" w:cs="Courier New"/>
          <w:b/>
          <w:szCs w:val="28"/>
        </w:rPr>
        <w:t>（三）辅助提高模块</w:t>
      </w:r>
    </w:p>
    <w:p w14:paraId="53ED1262">
      <w:pPr>
        <w:numPr>
          <w:ilvl w:val="0"/>
          <w:numId w:val="3"/>
        </w:numPr>
        <w:ind w:left="0" w:leftChars="0" w:right="140" w:rightChars="50" w:firstLine="454" w:firstLineChars="0"/>
        <w:rPr>
          <w:rFonts w:ascii="宋体" w:hAnsi="宋体" w:cs="Courier New"/>
          <w:szCs w:val="28"/>
        </w:rPr>
      </w:pPr>
      <w:r>
        <w:rPr>
          <w:rFonts w:hint="eastAsia" w:ascii="宋体" w:hAnsi="宋体" w:cs="Courier New"/>
          <w:szCs w:val="28"/>
        </w:rPr>
        <w:t>化工热力学</w:t>
      </w:r>
    </w:p>
    <w:p w14:paraId="7F97282D">
      <w:pPr>
        <w:ind w:right="140" w:rightChars="50" w:firstLine="560"/>
        <w:rPr>
          <w:rFonts w:ascii="宋体" w:hAnsi="宋体" w:cs="Courier New"/>
          <w:szCs w:val="28"/>
        </w:rPr>
      </w:pPr>
      <w:r>
        <w:rPr>
          <w:rFonts w:hint="eastAsia" w:ascii="宋体" w:hAnsi="宋体" w:cs="Courier New"/>
          <w:szCs w:val="28"/>
        </w:rPr>
        <w:t>本课程是化学工程的一个分支，是热力学基本定律应用于化学工程领域中而形成的一门学科。主要研究化工过程中各种形式的能量之间相互转化的规律及过程趋近平衡的极限条件，为有效利用能量和改进实际过程提供理论依据。</w:t>
      </w:r>
    </w:p>
    <w:p w14:paraId="0F7F687C">
      <w:pPr>
        <w:numPr>
          <w:ilvl w:val="0"/>
          <w:numId w:val="3"/>
        </w:numPr>
        <w:ind w:left="0" w:leftChars="0" w:right="140" w:rightChars="50" w:firstLine="454" w:firstLineChars="0"/>
        <w:rPr>
          <w:rFonts w:ascii="宋体" w:hAnsi="宋体" w:cs="Courier New"/>
          <w:szCs w:val="28"/>
        </w:rPr>
      </w:pPr>
      <w:r>
        <w:rPr>
          <w:rFonts w:hint="eastAsia" w:ascii="宋体" w:hAnsi="宋体" w:cs="Courier New"/>
          <w:szCs w:val="28"/>
        </w:rPr>
        <w:t>化工分离工程</w:t>
      </w:r>
    </w:p>
    <w:p w14:paraId="713D9776">
      <w:pPr>
        <w:ind w:right="140" w:rightChars="50" w:firstLine="560"/>
        <w:rPr>
          <w:rFonts w:ascii="宋体" w:hAnsi="宋体" w:cs="Courier New"/>
          <w:szCs w:val="28"/>
        </w:rPr>
      </w:pPr>
      <w:r>
        <w:rPr>
          <w:rFonts w:hint="eastAsia" w:ascii="宋体" w:hAnsi="宋体" w:cs="Courier New"/>
          <w:szCs w:val="28"/>
        </w:rPr>
        <w:t>化工分离工程是</w:t>
      </w:r>
      <w:r>
        <w:rPr>
          <w:rFonts w:hint="eastAsia" w:ascii="宋体" w:hAnsi="宋体" w:cs="Courier New"/>
          <w:szCs w:val="28"/>
          <w:lang w:eastAsia="zh-CN"/>
        </w:rPr>
        <w:t>精细化工技术</w:t>
      </w:r>
      <w:r>
        <w:rPr>
          <w:rFonts w:hint="eastAsia" w:ascii="宋体" w:hAnsi="宋体" w:cs="Courier New"/>
          <w:szCs w:val="28"/>
        </w:rPr>
        <w:t>专业的专业必修课。本课程主要理解化工分离工程的有关基本概念和理论，理解各概念之间的联系和应用，掌握化工分离工程的基本计算方法，能够理论联系实际，灵活分析和解决时间化工生产中的有关问题。</w:t>
      </w:r>
    </w:p>
    <w:p w14:paraId="5217699D">
      <w:pPr>
        <w:numPr>
          <w:ilvl w:val="0"/>
          <w:numId w:val="3"/>
        </w:numPr>
        <w:ind w:left="0" w:leftChars="0" w:right="140" w:rightChars="50" w:firstLine="454" w:firstLineChars="0"/>
        <w:rPr>
          <w:rFonts w:ascii="宋体" w:hAnsi="宋体" w:cs="Courier New"/>
          <w:szCs w:val="28"/>
        </w:rPr>
      </w:pPr>
      <w:r>
        <w:rPr>
          <w:rFonts w:hint="eastAsia" w:ascii="宋体" w:hAnsi="宋体" w:cs="Courier New"/>
          <w:szCs w:val="28"/>
        </w:rPr>
        <w:t>化工传递工程</w:t>
      </w:r>
    </w:p>
    <w:p w14:paraId="2BF78D71">
      <w:pPr>
        <w:ind w:right="140" w:rightChars="50" w:firstLine="560"/>
        <w:rPr>
          <w:rFonts w:ascii="宋体" w:hAnsi="宋体" w:cs="Courier New"/>
          <w:szCs w:val="28"/>
        </w:rPr>
      </w:pPr>
      <w:r>
        <w:rPr>
          <w:rFonts w:hint="eastAsia" w:ascii="宋体" w:hAnsi="宋体" w:cs="Courier New"/>
          <w:szCs w:val="28"/>
        </w:rPr>
        <w:t>化工传递工程是物理化学、化工原理等课程的后续课程。传递过程主要阐述了动量、热量和质量传递的基本原理，是分离过程的理论基础； 本课程是</w:t>
      </w:r>
      <w:r>
        <w:rPr>
          <w:rFonts w:hint="eastAsia" w:ascii="宋体" w:hAnsi="宋体" w:cs="Courier New"/>
          <w:szCs w:val="28"/>
          <w:lang w:eastAsia="zh-CN"/>
        </w:rPr>
        <w:t>精细化工技术</w:t>
      </w:r>
      <w:r>
        <w:rPr>
          <w:rFonts w:hint="eastAsia" w:ascii="宋体" w:hAnsi="宋体" w:cs="Courier New"/>
          <w:szCs w:val="28"/>
        </w:rPr>
        <w:t>专业的专业必修课，通过相关知识的学习，培养学生分析实际问题和解决工程问题的能力，为其毕业后从事相关技术工作奠定良好的理论和技术。</w:t>
      </w:r>
    </w:p>
    <w:p w14:paraId="288AEA30">
      <w:pPr>
        <w:numPr>
          <w:ilvl w:val="0"/>
          <w:numId w:val="3"/>
        </w:numPr>
        <w:ind w:left="0" w:leftChars="0" w:right="140" w:rightChars="50" w:firstLine="454" w:firstLineChars="0"/>
        <w:rPr>
          <w:rFonts w:ascii="宋体" w:hAnsi="宋体" w:cs="Courier New"/>
          <w:szCs w:val="28"/>
        </w:rPr>
      </w:pPr>
      <w:r>
        <w:rPr>
          <w:rFonts w:hint="eastAsia" w:ascii="宋体" w:hAnsi="宋体" w:cs="Courier New"/>
          <w:szCs w:val="28"/>
        </w:rPr>
        <w:t>化工环保与安全</w:t>
      </w:r>
    </w:p>
    <w:p w14:paraId="4A137E8E">
      <w:pPr>
        <w:ind w:right="140" w:rightChars="50" w:firstLine="560"/>
        <w:rPr>
          <w:rFonts w:ascii="宋体" w:hAnsi="宋体" w:cs="Courier New"/>
          <w:szCs w:val="28"/>
        </w:rPr>
      </w:pPr>
      <w:r>
        <w:rPr>
          <w:rFonts w:hint="eastAsia" w:ascii="宋体" w:hAnsi="宋体" w:cs="Courier New"/>
          <w:szCs w:val="28"/>
        </w:rPr>
        <w:t>通过本课程的学习能够根据化工生产过程中的主要不安全因素，初步制定安全防范措施，具有化工生产中现场急救的能力，能够正确使用常见消防器材及气瓶，具有进行化工安全、环保生产的能力，具有化工安全生产及环保的意识，能分析化工生产红的安全问题及现象，具备辩证思考能力，具有处理突发事件的能力。</w:t>
      </w:r>
    </w:p>
    <w:p w14:paraId="6E3F0CCE">
      <w:pPr>
        <w:numPr>
          <w:ilvl w:val="0"/>
          <w:numId w:val="3"/>
        </w:numPr>
        <w:spacing w:line="240" w:lineRule="auto"/>
        <w:ind w:left="0" w:leftChars="0" w:firstLine="454" w:firstLineChars="0"/>
        <w:rPr>
          <w:highlight w:val="none"/>
        </w:rPr>
      </w:pPr>
      <w:r>
        <w:rPr>
          <w:rFonts w:hint="eastAsia" w:ascii="宋体" w:hAnsi="宋体" w:cs="Courier New"/>
          <w:szCs w:val="28"/>
          <w:highlight w:val="none"/>
        </w:rPr>
        <w:t>精细化学品复配技术</w:t>
      </w:r>
    </w:p>
    <w:p w14:paraId="78CC4AFA">
      <w:pPr>
        <w:ind w:right="140" w:rightChars="50" w:firstLine="560"/>
        <w:rPr>
          <w:rFonts w:hint="eastAsia" w:ascii="宋体" w:hAnsi="宋体" w:cs="Courier New"/>
          <w:szCs w:val="28"/>
        </w:rPr>
      </w:pPr>
      <w:r>
        <w:rPr>
          <w:rFonts w:hint="eastAsia" w:ascii="宋体" w:hAnsi="宋体" w:cs="Courier New"/>
          <w:szCs w:val="28"/>
        </w:rPr>
        <w:t>精细化学品复配原理主要是基于化学品的物理化学性质和反应机理通过合理的配比和混合方式，使得不同的化学品能够相互协同作用达到预期的效果。在复配过程中，需要考虑到化学品的稳定性、反应性、溶解度、挥发性等因素，以及复配后的化学品的稳定性和性能等因素</w:t>
      </w:r>
    </w:p>
    <w:p w14:paraId="46E14353">
      <w:pPr>
        <w:ind w:right="140" w:rightChars="50" w:firstLine="560"/>
        <w:rPr>
          <w:rFonts w:hint="eastAsia" w:ascii="宋体" w:hAnsi="宋体" w:cs="Courier New"/>
          <w:szCs w:val="28"/>
        </w:rPr>
      </w:pPr>
      <w:r>
        <w:rPr>
          <w:rFonts w:hint="eastAsia" w:ascii="宋体" w:hAnsi="宋体" w:cs="Courier New"/>
          <w:szCs w:val="28"/>
        </w:rPr>
        <w:t>精细化学品复配技术主要包括物理混合、溶液混合、反应混合等方式。其中，物理混合是指将不同的化学品按照一定比例混合在一起，形成混合物。这种方式适用于化学品之间没有反应的情况，如混合不同颜色的颜料。溶液混合则是将不同的化学品溶解在同一溶剂中形成溶液。这种方式适用于化学品之间有一定的相容性，如混合不同的药物。反应混合则是将不同的化学品在一定条件下进行反应，形成新的化学品。这种方式适用于需要化学反应才能达到预期效果的情况，如混合不同的催化剂精细化学品复配技术是保证化学品品质和性能的重要手段。通过合理的配比和混合方式，不同的化学品能够相互协同作用，达到预期的效果。在实际应用中，需要根据化学品的性质和反应机理，选择合适的复配方式，并进行严格的质量控制，确保复配后的化学品符合预期的品质和性能要求</w:t>
      </w:r>
    </w:p>
    <w:p w14:paraId="3F3A8C3B">
      <w:pPr>
        <w:ind w:right="140" w:rightChars="50" w:firstLine="560"/>
        <w:rPr>
          <w:rFonts w:ascii="宋体" w:hAnsi="宋体" w:cs="Courier New"/>
          <w:szCs w:val="28"/>
        </w:rPr>
      </w:pPr>
      <w:r>
        <w:rPr>
          <w:rFonts w:hint="eastAsia" w:ascii="宋体" w:hAnsi="宋体" w:cs="Courier New"/>
          <w:b/>
          <w:szCs w:val="28"/>
        </w:rPr>
        <w:t>（四）基础课教学体系与实践教学体系设计与融合</w:t>
      </w:r>
    </w:p>
    <w:p w14:paraId="30E8EB3D">
      <w:pPr>
        <w:ind w:right="140" w:rightChars="50" w:firstLine="560"/>
        <w:rPr>
          <w:rFonts w:ascii="宋体" w:hAnsi="宋体" w:cs="Courier New"/>
          <w:szCs w:val="28"/>
        </w:rPr>
      </w:pPr>
      <w:r>
        <w:rPr>
          <w:rFonts w:hint="eastAsia" w:ascii="宋体" w:hAnsi="宋体" w:cs="Courier New"/>
          <w:szCs w:val="28"/>
        </w:rPr>
        <w:t>基础课程体系设置突破传统的“公共基础课一-专业基础课一专业课”三段式模式，以能力培养为中心，将课程结构调整为“职业基础课一职业技术课一技能训练课”的新课程体系。职业基础课以加强大学生文化素质为核心，突出基础知识向应用能力转化;职业技术课以提高学生对岗位的适应性为目的，重在岗位平台课程建设，增强专业的扩展性及多向适应性:技能训练课根据岗位技能要求及国家对相关职业准入制度要求进行专门设计，基本技能训练与专业专项技能训练均根据国家职业技能鉴定或执业资格证书要求进行。教学内容紧密结合生产实际，及时跟踪先进技术的步伐。实践教学的组织体系创新，建立了校企合作人才培养基地及实训基地，通过学生认知实习、顶岗实习、毕业实习、校企合作、商讨座谈等形式，达成了:①学校依据化工企业对人才的需求，对学生因材施教，可开展讲座、选修、课外辅导等形式，重点讲授相关课程，从而满足不同化工企业、不同工作岗位对人才的不同需要;②企业尽量满足学校实训基地的效能，为学生提供适当的生产场所，并多为学校提供有丰富经验的技术人员作为专业兼职教师;③为了提高企业内部职工的素质，企业每年输送一批职工， 到学校接受技术培训:④鼓励刚走出大学校门的青年教师，多到企业参加专业实践和技术服务等一系列实践训练，逐渐形成了实验室、实习工厂、校外实训基地三位一体的实践训练体系，为学生职业技能训练创造了良好的条件。</w:t>
      </w:r>
    </w:p>
    <w:p w14:paraId="3A4AE310">
      <w:pPr>
        <w:ind w:right="140" w:rightChars="50" w:firstLine="562"/>
        <w:rPr>
          <w:rFonts w:ascii="宋体" w:hAnsi="宋体" w:cs="Courier New"/>
          <w:szCs w:val="28"/>
        </w:rPr>
      </w:pPr>
      <w:r>
        <w:rPr>
          <w:rFonts w:hint="eastAsia" w:ascii="宋体" w:hAnsi="宋体" w:cs="Courier New"/>
          <w:b/>
          <w:szCs w:val="28"/>
        </w:rPr>
        <w:t>（五）素质教育课程的融入</w:t>
      </w:r>
    </w:p>
    <w:p w14:paraId="7357B749">
      <w:pPr>
        <w:ind w:right="140" w:rightChars="50" w:firstLine="560"/>
        <w:rPr>
          <w:rFonts w:ascii="宋体" w:hAnsi="宋体" w:cs="Courier New"/>
          <w:szCs w:val="28"/>
        </w:rPr>
      </w:pPr>
      <w:r>
        <w:rPr>
          <w:rFonts w:hint="eastAsia" w:ascii="宋体" w:hAnsi="宋体" w:cs="Courier New"/>
          <w:szCs w:val="28"/>
        </w:rPr>
        <w:t>教学中注重学生的职业基础素质、职业专门能力、职业拓展能力和创新能力的培养。让学生毕业以后具有本专业领域内坚实的基础理论，较广泛的专业科学知识和较强的实践技能:学生应掌握必备的化工生产基础理论，熟练掌握化工生产专业技术，同时具备仪表自动化、计算机应用、化工设备、工业分析等方面的综合知识和能力:能较熟练地掌握计算机应用技术。掌握化工生产工艺技术、工艺设计和管理理论，熟悉化工生产运行和工艺技术管理规范的操作技能型专门人才。学生受到化学工程及工艺专业实验技能、工程实践的基本训练，具有较好的科学文化素质、实际工作能力和良好职业道德及敬业精神。</w:t>
      </w:r>
    </w:p>
    <w:p w14:paraId="04D0167E">
      <w:pPr>
        <w:ind w:right="140" w:rightChars="50" w:firstLine="562"/>
        <w:rPr>
          <w:rFonts w:ascii="宋体" w:hAnsi="宋体" w:cs="Courier New"/>
          <w:szCs w:val="28"/>
        </w:rPr>
      </w:pPr>
      <w:r>
        <w:rPr>
          <w:rFonts w:hint="eastAsia" w:ascii="宋体" w:hAnsi="宋体" w:cs="Courier New"/>
          <w:b/>
          <w:szCs w:val="28"/>
        </w:rPr>
        <w:t>（六）职业资格证融入课程的设计</w:t>
      </w:r>
    </w:p>
    <w:p w14:paraId="5743C822">
      <w:pPr>
        <w:ind w:right="140" w:rightChars="50" w:firstLine="560"/>
        <w:rPr>
          <w:rFonts w:ascii="宋体" w:hAnsi="宋体" w:cs="Courier New"/>
          <w:szCs w:val="28"/>
        </w:rPr>
      </w:pPr>
      <w:r>
        <w:rPr>
          <w:rFonts w:hint="eastAsia" w:ascii="宋体" w:hAnsi="宋体" w:cs="Courier New"/>
          <w:szCs w:val="28"/>
        </w:rPr>
        <w:t>在专业带头人、行业专家共同参与下，按照取得化工操作工职业资格证书的要求，根据化工工艺生产岗位所需的职业道德、知识和能力，解析化工工艺生产操作过程，开发对应岗位能力的实训项目，使课程内容与生产的操作过程一致， 达到理论和实践的一-体化，科学合理构建化工工艺生产工作过程的以培养能力为目标的课程体系。</w:t>
      </w:r>
    </w:p>
    <w:p w14:paraId="47B94DE5">
      <w:pPr>
        <w:ind w:right="140" w:rightChars="50" w:firstLine="562"/>
        <w:rPr>
          <w:rFonts w:ascii="宋体" w:hAnsi="宋体" w:cs="Courier New"/>
          <w:b/>
          <w:szCs w:val="28"/>
        </w:rPr>
      </w:pPr>
      <w:r>
        <w:rPr>
          <w:rFonts w:hint="eastAsia" w:ascii="宋体" w:hAnsi="宋体" w:cs="Courier New"/>
          <w:b/>
          <w:szCs w:val="28"/>
        </w:rPr>
        <w:t>五、获取证书：</w:t>
      </w:r>
    </w:p>
    <w:p w14:paraId="7DC19D38">
      <w:pPr>
        <w:ind w:right="140" w:rightChars="50" w:firstLine="560"/>
        <w:rPr>
          <w:rFonts w:ascii="宋体" w:hAnsi="宋体" w:cs="Courier New"/>
          <w:szCs w:val="28"/>
        </w:rPr>
      </w:pPr>
      <w:r>
        <w:rPr>
          <w:rFonts w:hint="eastAsia" w:ascii="宋体" w:hAnsi="宋体" w:cs="Courier New"/>
          <w:szCs w:val="28"/>
        </w:rPr>
        <w:t>（1）高职专科应用化工专业毕业证书；</w:t>
      </w:r>
    </w:p>
    <w:p w14:paraId="01904616">
      <w:pPr>
        <w:ind w:right="140" w:rightChars="50" w:firstLine="560"/>
        <w:rPr>
          <w:rFonts w:ascii="宋体" w:hAnsi="宋体" w:cs="Courier New"/>
          <w:szCs w:val="28"/>
        </w:rPr>
      </w:pPr>
      <w:r>
        <w:rPr>
          <w:rFonts w:hint="eastAsia" w:ascii="宋体" w:hAnsi="宋体" w:cs="Courier New"/>
          <w:szCs w:val="28"/>
        </w:rPr>
        <w:t>（2）高等学校英语应用能力A级证书；</w:t>
      </w:r>
    </w:p>
    <w:p w14:paraId="36919042">
      <w:pPr>
        <w:ind w:right="140" w:rightChars="50" w:firstLine="560"/>
        <w:rPr>
          <w:rFonts w:ascii="宋体" w:hAnsi="宋体" w:cs="Courier New"/>
          <w:szCs w:val="28"/>
        </w:rPr>
      </w:pPr>
      <w:r>
        <w:rPr>
          <w:rFonts w:hint="eastAsia" w:ascii="宋体" w:hAnsi="宋体" w:cs="Courier New"/>
          <w:szCs w:val="28"/>
        </w:rPr>
        <w:t>（3）计算机考试二级以上证书；</w:t>
      </w:r>
    </w:p>
    <w:p w14:paraId="56C1617A">
      <w:pPr>
        <w:ind w:right="140" w:rightChars="50" w:firstLine="560"/>
        <w:rPr>
          <w:rFonts w:ascii="宋体" w:hAnsi="宋体" w:cs="Courier New"/>
          <w:szCs w:val="28"/>
        </w:rPr>
      </w:pPr>
      <w:r>
        <w:rPr>
          <w:rFonts w:hint="eastAsia" w:ascii="宋体" w:hAnsi="宋体" w:cs="Courier New"/>
          <w:szCs w:val="28"/>
        </w:rPr>
        <w:t>（4）相关</w:t>
      </w:r>
      <w:r>
        <w:rPr>
          <w:rFonts w:hint="eastAsia" w:ascii="宋体" w:hAnsi="宋体"/>
          <w:szCs w:val="28"/>
        </w:rPr>
        <w:t>职业</w:t>
      </w:r>
      <w:r>
        <w:rPr>
          <w:rFonts w:ascii="宋体" w:hAnsi="宋体"/>
          <w:szCs w:val="28"/>
        </w:rPr>
        <w:t>资格证书</w:t>
      </w:r>
      <w:r>
        <w:rPr>
          <w:rFonts w:hint="eastAsia" w:ascii="宋体" w:hAnsi="宋体" w:cs="Courier New"/>
          <w:szCs w:val="28"/>
        </w:rPr>
        <w:t>：蒸馏工、化工总控工、化产泵工、化学检验工等</w:t>
      </w:r>
    </w:p>
    <w:p w14:paraId="1153AF6E">
      <w:pPr>
        <w:ind w:right="140" w:rightChars="50" w:firstLine="562"/>
        <w:rPr>
          <w:rFonts w:ascii="宋体" w:hAnsi="宋体" w:cs="Courier New"/>
          <w:b/>
          <w:szCs w:val="28"/>
        </w:rPr>
      </w:pPr>
      <w:r>
        <w:rPr>
          <w:rFonts w:hint="eastAsia" w:ascii="宋体" w:hAnsi="宋体" w:cs="Courier New"/>
          <w:b/>
          <w:szCs w:val="28"/>
        </w:rPr>
        <w:t>六、</w:t>
      </w:r>
      <w:r>
        <w:rPr>
          <w:rFonts w:hint="eastAsia" w:ascii="黑体" w:hAnsi="黑体" w:eastAsia="黑体"/>
          <w:color w:val="000000"/>
          <w:szCs w:val="28"/>
        </w:rPr>
        <w:t>毕业要求</w:t>
      </w:r>
    </w:p>
    <w:p w14:paraId="5A68B31A">
      <w:pPr>
        <w:overflowPunct w:val="0"/>
        <w:adjustRightInd w:val="0"/>
        <w:spacing w:line="520" w:lineRule="exact"/>
        <w:ind w:firstLine="560"/>
        <w:rPr>
          <w:rFonts w:ascii="宋体" w:hAnsi="宋体" w:cs="Courier New"/>
          <w:szCs w:val="28"/>
        </w:rPr>
      </w:pPr>
      <w:r>
        <w:rPr>
          <w:rFonts w:hint="eastAsia" w:ascii="宋体" w:hAnsi="宋体" w:cs="Courier New"/>
          <w:szCs w:val="28"/>
        </w:rPr>
        <w:t>学生按本专业人才培养方案要求修完规定的课程，考核合格，达到毕业最低学分要求和《国家学生体质健康标准》相关要求，获得毕业资格，准予毕业，颁发毕业证书。</w:t>
      </w:r>
    </w:p>
    <w:p w14:paraId="5BFDE151">
      <w:pPr>
        <w:overflowPunct w:val="0"/>
        <w:adjustRightInd w:val="0"/>
        <w:spacing w:before="156" w:beforeLines="50" w:after="156" w:afterLines="50"/>
        <w:ind w:firstLine="482"/>
        <w:jc w:val="left"/>
        <w:outlineLvl w:val="1"/>
        <w:rPr>
          <w:rFonts w:ascii="宋体" w:hAnsi="宋体" w:cs="宋体"/>
          <w:b/>
          <w:bCs/>
          <w:color w:val="000000"/>
          <w:sz w:val="24"/>
        </w:rPr>
      </w:pPr>
      <w:bookmarkStart w:id="10" w:name="_Toc25618"/>
      <w:bookmarkStart w:id="11" w:name="_Toc228"/>
      <w:bookmarkStart w:id="12" w:name="_Toc10745"/>
      <w:bookmarkStart w:id="13" w:name="_Toc28375"/>
      <w:bookmarkStart w:id="14" w:name="_Toc4044"/>
      <w:bookmarkStart w:id="15" w:name="_Toc14729"/>
      <w:bookmarkStart w:id="16" w:name="_Toc30204"/>
      <w:bookmarkStart w:id="17" w:name="_Toc85728434"/>
      <w:bookmarkStart w:id="18" w:name="_Toc16345"/>
      <w:bookmarkStart w:id="19" w:name="_Toc27987"/>
      <w:r>
        <w:rPr>
          <w:rFonts w:hint="eastAsia" w:ascii="宋体" w:hAnsi="宋体" w:cs="宋体"/>
          <w:b/>
          <w:bCs/>
          <w:color w:val="000000"/>
          <w:sz w:val="24"/>
        </w:rPr>
        <w:t>（一）学时</w:t>
      </w:r>
      <w:bookmarkEnd w:id="10"/>
      <w:bookmarkEnd w:id="11"/>
      <w:bookmarkEnd w:id="12"/>
      <w:bookmarkEnd w:id="13"/>
      <w:bookmarkEnd w:id="14"/>
      <w:bookmarkEnd w:id="15"/>
      <w:bookmarkEnd w:id="16"/>
      <w:bookmarkEnd w:id="17"/>
      <w:bookmarkEnd w:id="18"/>
      <w:bookmarkEnd w:id="19"/>
    </w:p>
    <w:p w14:paraId="6292AB99">
      <w:pPr>
        <w:overflowPunct w:val="0"/>
        <w:adjustRightInd w:val="0"/>
        <w:spacing w:line="520" w:lineRule="exact"/>
        <w:ind w:firstLine="560"/>
        <w:rPr>
          <w:rFonts w:ascii="宋体" w:hAnsi="宋体" w:cs="Courier New"/>
          <w:szCs w:val="28"/>
        </w:rPr>
      </w:pPr>
      <w:r>
        <w:rPr>
          <w:rFonts w:hint="eastAsia" w:ascii="宋体" w:hAnsi="宋体" w:cs="Courier New"/>
          <w:szCs w:val="28"/>
        </w:rPr>
        <w:t>本专业总计学时数为：</w:t>
      </w:r>
      <w:r>
        <w:rPr>
          <w:rFonts w:ascii="宋体" w:hAnsi="宋体" w:cs="Courier New"/>
          <w:szCs w:val="28"/>
        </w:rPr>
        <w:t>2761</w:t>
      </w:r>
      <w:r>
        <w:rPr>
          <w:rFonts w:hint="eastAsia" w:ascii="宋体" w:hAnsi="宋体" w:cs="Courier New"/>
          <w:szCs w:val="28"/>
        </w:rPr>
        <w:t>学时；其中理论学时：1</w:t>
      </w:r>
      <w:r>
        <w:rPr>
          <w:rFonts w:ascii="宋体" w:hAnsi="宋体" w:cs="Courier New"/>
          <w:szCs w:val="28"/>
        </w:rPr>
        <w:t>227</w:t>
      </w:r>
      <w:r>
        <w:rPr>
          <w:rFonts w:hint="eastAsia" w:ascii="宋体" w:hAnsi="宋体" w:cs="Courier New"/>
          <w:szCs w:val="28"/>
        </w:rPr>
        <w:t>学时，实践学时：1</w:t>
      </w:r>
      <w:r>
        <w:rPr>
          <w:rFonts w:ascii="宋体" w:hAnsi="宋体" w:cs="Courier New"/>
          <w:szCs w:val="28"/>
        </w:rPr>
        <w:t>534</w:t>
      </w:r>
      <w:r>
        <w:rPr>
          <w:rFonts w:hint="eastAsia" w:ascii="宋体" w:hAnsi="宋体" w:cs="Courier New"/>
          <w:szCs w:val="28"/>
        </w:rPr>
        <w:t>学时，周平均学时为：</w:t>
      </w:r>
      <w:r>
        <w:rPr>
          <w:rFonts w:ascii="宋体" w:hAnsi="宋体" w:cs="Courier New"/>
          <w:szCs w:val="28"/>
        </w:rPr>
        <w:t>26</w:t>
      </w:r>
      <w:r>
        <w:rPr>
          <w:rFonts w:hint="eastAsia" w:ascii="宋体" w:hAnsi="宋体" w:cs="Courier New"/>
          <w:szCs w:val="28"/>
        </w:rPr>
        <w:t>学时；，每学时按45分钟计算。</w:t>
      </w:r>
    </w:p>
    <w:p w14:paraId="1538104D">
      <w:pPr>
        <w:overflowPunct w:val="0"/>
        <w:adjustRightInd w:val="0"/>
        <w:spacing w:before="156" w:beforeLines="50" w:after="156" w:afterLines="50"/>
        <w:ind w:firstLine="482"/>
        <w:jc w:val="left"/>
        <w:outlineLvl w:val="1"/>
        <w:rPr>
          <w:rFonts w:ascii="宋体" w:hAnsi="宋体" w:cs="宋体"/>
          <w:b/>
          <w:bCs/>
          <w:color w:val="000000"/>
          <w:sz w:val="24"/>
        </w:rPr>
      </w:pPr>
      <w:bookmarkStart w:id="20" w:name="_Toc27479"/>
      <w:bookmarkStart w:id="21" w:name="_Toc28087"/>
      <w:bookmarkStart w:id="22" w:name="_Toc12386"/>
      <w:bookmarkStart w:id="23" w:name="_Toc2750"/>
      <w:bookmarkStart w:id="24" w:name="_Toc5784"/>
      <w:bookmarkStart w:id="25" w:name="_Toc22099"/>
      <w:bookmarkStart w:id="26" w:name="_Toc25385"/>
      <w:bookmarkStart w:id="27" w:name="_Toc85728435"/>
      <w:bookmarkStart w:id="28" w:name="_Toc29947"/>
      <w:bookmarkStart w:id="29" w:name="_Toc28673"/>
      <w:r>
        <w:rPr>
          <w:rFonts w:hint="eastAsia" w:ascii="宋体" w:hAnsi="宋体" w:cs="宋体"/>
          <w:b/>
          <w:bCs/>
          <w:color w:val="000000"/>
          <w:sz w:val="24"/>
        </w:rPr>
        <w:t>（二）成绩</w:t>
      </w:r>
      <w:bookmarkEnd w:id="20"/>
      <w:bookmarkEnd w:id="21"/>
      <w:bookmarkEnd w:id="22"/>
      <w:bookmarkEnd w:id="23"/>
      <w:bookmarkEnd w:id="24"/>
      <w:bookmarkEnd w:id="25"/>
      <w:bookmarkEnd w:id="26"/>
      <w:bookmarkEnd w:id="27"/>
      <w:bookmarkEnd w:id="28"/>
      <w:bookmarkEnd w:id="29"/>
    </w:p>
    <w:p w14:paraId="4DF34B27">
      <w:pPr>
        <w:overflowPunct w:val="0"/>
        <w:adjustRightInd w:val="0"/>
        <w:spacing w:line="520" w:lineRule="exact"/>
        <w:ind w:firstLine="560"/>
        <w:rPr>
          <w:rFonts w:ascii="宋体" w:hAnsi="宋体" w:cs="Courier New"/>
          <w:szCs w:val="28"/>
        </w:rPr>
      </w:pPr>
      <w:r>
        <w:rPr>
          <w:rFonts w:hint="eastAsia" w:ascii="宋体" w:hAnsi="宋体" w:cs="Courier New"/>
          <w:szCs w:val="28"/>
        </w:rPr>
        <w:t>1．学期科目成绩不低于60分。</w:t>
      </w:r>
    </w:p>
    <w:p w14:paraId="0C7F8443">
      <w:pPr>
        <w:overflowPunct w:val="0"/>
        <w:adjustRightInd w:val="0"/>
        <w:spacing w:line="520" w:lineRule="exact"/>
        <w:ind w:firstLine="560"/>
        <w:rPr>
          <w:rFonts w:ascii="宋体" w:hAnsi="宋体" w:cs="Courier New"/>
          <w:szCs w:val="28"/>
        </w:rPr>
      </w:pPr>
      <w:r>
        <w:rPr>
          <w:rFonts w:hint="eastAsia" w:ascii="宋体" w:hAnsi="宋体" w:cs="Courier New"/>
          <w:szCs w:val="28"/>
        </w:rPr>
        <w:t>2．企业实践课成绩合格水平以上。</w:t>
      </w:r>
    </w:p>
    <w:p w14:paraId="5D923CA4">
      <w:pPr>
        <w:overflowPunct w:val="0"/>
        <w:adjustRightInd w:val="0"/>
        <w:spacing w:line="520" w:lineRule="exact"/>
        <w:ind w:firstLine="560"/>
        <w:rPr>
          <w:rFonts w:ascii="宋体" w:hAnsi="宋体" w:cs="Courier New"/>
          <w:szCs w:val="28"/>
        </w:rPr>
      </w:pPr>
      <w:r>
        <w:rPr>
          <w:rFonts w:hint="eastAsia" w:ascii="宋体" w:hAnsi="宋体" w:cs="Courier New"/>
          <w:szCs w:val="28"/>
        </w:rPr>
        <w:t>3. 实习成绩合格水平以上。</w:t>
      </w:r>
    </w:p>
    <w:p w14:paraId="205DB8C1">
      <w:pPr>
        <w:overflowPunct w:val="0"/>
        <w:adjustRightInd w:val="0"/>
        <w:spacing w:before="156" w:beforeLines="50" w:after="156" w:afterLines="50"/>
        <w:ind w:firstLine="482"/>
        <w:jc w:val="left"/>
        <w:outlineLvl w:val="1"/>
        <w:rPr>
          <w:rFonts w:ascii="宋体" w:hAnsi="宋体" w:cs="宋体"/>
          <w:b/>
          <w:bCs/>
          <w:color w:val="000000"/>
          <w:sz w:val="24"/>
        </w:rPr>
      </w:pPr>
      <w:r>
        <w:rPr>
          <w:rFonts w:hint="eastAsia" w:ascii="宋体" w:hAnsi="宋体" w:cs="宋体"/>
          <w:b/>
          <w:bCs/>
          <w:color w:val="000000"/>
          <w:sz w:val="24"/>
        </w:rPr>
        <w:t>（三）教学方法</w:t>
      </w:r>
    </w:p>
    <w:p w14:paraId="576B0428">
      <w:pPr>
        <w:ind w:right="140" w:rightChars="50" w:firstLine="560"/>
        <w:rPr>
          <w:rFonts w:hint="eastAsia" w:ascii="宋体" w:hAnsi="宋体" w:cs="Courier New"/>
          <w:szCs w:val="28"/>
        </w:rPr>
      </w:pPr>
      <w:bookmarkStart w:id="30" w:name="_Toc31838"/>
      <w:bookmarkStart w:id="31" w:name="_Toc29773"/>
      <w:bookmarkStart w:id="32" w:name="_Toc13897"/>
      <w:bookmarkStart w:id="33" w:name="_Toc621"/>
      <w:bookmarkStart w:id="34" w:name="_Toc72"/>
      <w:r>
        <w:rPr>
          <w:rFonts w:hint="eastAsia" w:ascii="宋体" w:hAnsi="宋体" w:cs="Courier New"/>
          <w:szCs w:val="28"/>
        </w:rPr>
        <w:t>遵循科学性与教育性相结合原则、直观性原则、启发性原则、巩固性原则、循序渐进原则、因材施教原则、理论联系实际原则、量力性原则。</w:t>
      </w:r>
    </w:p>
    <w:p w14:paraId="750529CF">
      <w:pPr>
        <w:ind w:right="140" w:rightChars="50" w:firstLine="560"/>
        <w:rPr>
          <w:rFonts w:hint="eastAsia" w:ascii="宋体" w:hAnsi="宋体" w:cs="Courier New"/>
          <w:szCs w:val="28"/>
        </w:rPr>
      </w:pPr>
      <w:r>
        <w:rPr>
          <w:rFonts w:hint="eastAsia" w:ascii="宋体" w:hAnsi="宋体" w:cs="Courier New"/>
          <w:szCs w:val="28"/>
        </w:rPr>
        <w:t>1、专业群平台课的理论教学主要采取讲授法、讨论法、直观演示法、练习法、读书指导法、网络课件辅助教学法，实践教学采取现场实验室直观演示法、实验法、校内生产实训室轮岗实训法，校外实践企业参观教学法、现场体验教学法进行。</w:t>
      </w:r>
    </w:p>
    <w:p w14:paraId="1669B5DE">
      <w:pPr>
        <w:ind w:right="140" w:rightChars="50" w:firstLine="560"/>
        <w:rPr>
          <w:rFonts w:hint="eastAsia" w:ascii="宋体" w:hAnsi="宋体" w:cs="Courier New"/>
          <w:szCs w:val="28"/>
        </w:rPr>
      </w:pPr>
      <w:r>
        <w:rPr>
          <w:rFonts w:hint="eastAsia" w:ascii="宋体" w:hAnsi="宋体" w:cs="Courier New"/>
          <w:szCs w:val="28"/>
        </w:rPr>
        <w:t>2、专业核心骨干课的理论教学采取讲授法、讨论法、直观演示法、练习法、网络课件辅助教学法，实践教学采取校内实验实训室实验法、校内生产实践室轮岗实训法，校外实践企业参观教学法、现场实践教学法进行。</w:t>
      </w:r>
    </w:p>
    <w:bookmarkEnd w:id="30"/>
    <w:bookmarkEnd w:id="31"/>
    <w:bookmarkEnd w:id="32"/>
    <w:bookmarkEnd w:id="33"/>
    <w:bookmarkEnd w:id="34"/>
    <w:p w14:paraId="4C0C9F7A">
      <w:pPr>
        <w:overflowPunct w:val="0"/>
        <w:adjustRightInd w:val="0"/>
        <w:spacing w:before="156" w:beforeLines="50" w:after="156" w:afterLines="50"/>
        <w:ind w:firstLine="482"/>
        <w:outlineLvl w:val="1"/>
        <w:rPr>
          <w:rFonts w:ascii="宋体" w:hAnsi="宋体" w:cs="宋体"/>
          <w:b/>
          <w:bCs/>
          <w:color w:val="000000"/>
          <w:sz w:val="24"/>
        </w:rPr>
      </w:pPr>
      <w:bookmarkStart w:id="35" w:name="_Toc28441"/>
      <w:bookmarkStart w:id="36" w:name="_Toc1458"/>
      <w:bookmarkStart w:id="37" w:name="_Toc29585"/>
      <w:bookmarkStart w:id="38" w:name="_Toc14319"/>
      <w:bookmarkStart w:id="39" w:name="_Toc29639"/>
      <w:bookmarkStart w:id="40" w:name="_Toc85728430"/>
      <w:bookmarkStart w:id="41" w:name="_Toc18484"/>
      <w:bookmarkStart w:id="42" w:name="_Toc20780"/>
      <w:bookmarkStart w:id="43" w:name="_Toc19698"/>
      <w:bookmarkStart w:id="44" w:name="_Toc20566"/>
      <w:r>
        <w:rPr>
          <w:rFonts w:hint="eastAsia" w:ascii="宋体" w:hAnsi="宋体" w:cs="宋体"/>
          <w:b/>
          <w:bCs/>
          <w:color w:val="000000"/>
          <w:sz w:val="24"/>
        </w:rPr>
        <w:t>（四）学习评价</w:t>
      </w:r>
      <w:bookmarkEnd w:id="35"/>
      <w:bookmarkEnd w:id="36"/>
      <w:bookmarkEnd w:id="37"/>
      <w:bookmarkEnd w:id="38"/>
      <w:bookmarkEnd w:id="39"/>
      <w:bookmarkEnd w:id="40"/>
      <w:bookmarkEnd w:id="41"/>
      <w:bookmarkEnd w:id="42"/>
      <w:bookmarkEnd w:id="43"/>
      <w:bookmarkEnd w:id="44"/>
    </w:p>
    <w:p w14:paraId="62C41891">
      <w:pPr>
        <w:overflowPunct w:val="0"/>
        <w:adjustRightInd w:val="0"/>
        <w:snapToGrid w:val="0"/>
        <w:spacing w:line="520" w:lineRule="exact"/>
        <w:ind w:firstLine="560"/>
        <w:rPr>
          <w:rFonts w:ascii="宋体" w:hAnsi="宋体" w:cs="Courier New"/>
          <w:szCs w:val="28"/>
        </w:rPr>
      </w:pPr>
      <w:r>
        <w:rPr>
          <w:rFonts w:ascii="宋体" w:hAnsi="宋体" w:cs="Courier New"/>
          <w:szCs w:val="28"/>
        </w:rPr>
        <w:t>总体原则：以人为本，侧重过程，综合评价。</w:t>
      </w:r>
    </w:p>
    <w:p w14:paraId="7825198D">
      <w:pPr>
        <w:overflowPunct w:val="0"/>
        <w:adjustRightInd w:val="0"/>
        <w:snapToGrid w:val="0"/>
        <w:spacing w:line="520" w:lineRule="exact"/>
        <w:ind w:firstLine="560"/>
        <w:rPr>
          <w:rFonts w:ascii="宋体" w:hAnsi="宋体" w:cs="Courier New"/>
          <w:szCs w:val="28"/>
        </w:rPr>
      </w:pPr>
      <w:r>
        <w:rPr>
          <w:rFonts w:ascii="宋体" w:hAnsi="宋体" w:cs="Courier New"/>
          <w:szCs w:val="28"/>
        </w:rPr>
        <w:t>总体办法：突出过程性考核评价，侧重学生实操能力，强化综合素质考核。</w:t>
      </w:r>
    </w:p>
    <w:p w14:paraId="709B0534">
      <w:pPr>
        <w:overflowPunct w:val="0"/>
        <w:adjustRightInd w:val="0"/>
        <w:snapToGrid w:val="0"/>
        <w:spacing w:line="520" w:lineRule="exact"/>
        <w:ind w:firstLine="560"/>
        <w:rPr>
          <w:rFonts w:ascii="宋体" w:hAnsi="宋体" w:cs="Courier New"/>
          <w:szCs w:val="28"/>
        </w:rPr>
      </w:pPr>
      <w:r>
        <w:rPr>
          <w:rFonts w:ascii="宋体" w:hAnsi="宋体" w:cs="Courier New"/>
          <w:szCs w:val="28"/>
        </w:rPr>
        <w:t>具体办法： 公共课、专业基础课采取过程性考核评价、实训成绩、期末试卷相结合的综合考核评价，侧重过程性考核评价。</w:t>
      </w:r>
    </w:p>
    <w:p w14:paraId="7DC33CAD">
      <w:pPr>
        <w:overflowPunct w:val="0"/>
        <w:adjustRightInd w:val="0"/>
        <w:snapToGrid w:val="0"/>
        <w:spacing w:line="520" w:lineRule="exact"/>
        <w:ind w:firstLine="560"/>
        <w:rPr>
          <w:rFonts w:ascii="宋体" w:hAnsi="宋体" w:cs="Courier New"/>
          <w:szCs w:val="28"/>
        </w:rPr>
      </w:pPr>
      <w:r>
        <w:rPr>
          <w:rFonts w:ascii="宋体" w:hAnsi="宋体" w:cs="Courier New"/>
          <w:szCs w:val="28"/>
        </w:rPr>
        <w:t>专业核心课、专业选修课采取过程性考核评价、实训成绩、期末试卷相结合的综合考核评价，侧重实训成绩。</w:t>
      </w:r>
    </w:p>
    <w:p w14:paraId="4334496B">
      <w:pPr>
        <w:overflowPunct w:val="0"/>
        <w:adjustRightInd w:val="0"/>
        <w:snapToGrid w:val="0"/>
        <w:spacing w:line="520" w:lineRule="exact"/>
        <w:ind w:firstLine="560"/>
        <w:rPr>
          <w:rFonts w:ascii="宋体" w:hAnsi="宋体" w:cs="Courier New"/>
          <w:szCs w:val="28"/>
        </w:rPr>
      </w:pPr>
      <w:r>
        <w:rPr>
          <w:rFonts w:hint="eastAsia" w:ascii="宋体" w:hAnsi="宋体" w:cs="Courier New"/>
          <w:szCs w:val="28"/>
        </w:rPr>
        <w:t>顶</w:t>
      </w:r>
      <w:r>
        <w:rPr>
          <w:rFonts w:ascii="宋体" w:hAnsi="宋体" w:cs="Courier New"/>
          <w:szCs w:val="28"/>
        </w:rPr>
        <w:t>岗实习采取三位一体(</w:t>
      </w:r>
      <w:r>
        <w:rPr>
          <w:rFonts w:hint="eastAsia" w:ascii="宋体" w:hAnsi="宋体" w:cs="Courier New"/>
          <w:szCs w:val="28"/>
        </w:rPr>
        <w:t>出勤考核、</w:t>
      </w:r>
      <w:r>
        <w:rPr>
          <w:rFonts w:ascii="宋体" w:hAnsi="宋体" w:cs="Courier New"/>
          <w:szCs w:val="28"/>
        </w:rPr>
        <w:t>企业、</w:t>
      </w:r>
      <w:r>
        <w:rPr>
          <w:rFonts w:hint="eastAsia" w:ascii="宋体" w:hAnsi="宋体" w:cs="Courier New"/>
          <w:szCs w:val="28"/>
        </w:rPr>
        <w:t>实习指导</w:t>
      </w:r>
      <w:r>
        <w:rPr>
          <w:rFonts w:ascii="宋体" w:hAnsi="宋体" w:cs="Courier New"/>
          <w:szCs w:val="28"/>
        </w:rPr>
        <w:t>教师)考核评价体系，强化综合素质考核，</w:t>
      </w:r>
      <w:r>
        <w:rPr>
          <w:rFonts w:hint="eastAsia" w:ascii="宋体" w:hAnsi="宋体" w:cs="Courier New"/>
          <w:szCs w:val="28"/>
        </w:rPr>
        <w:t>出勤1</w:t>
      </w:r>
      <w:r>
        <w:rPr>
          <w:rFonts w:ascii="宋体" w:hAnsi="宋体" w:cs="Courier New"/>
          <w:szCs w:val="28"/>
        </w:rPr>
        <w:t>0</w:t>
      </w:r>
      <w:r>
        <w:rPr>
          <w:rFonts w:hint="eastAsia" w:ascii="宋体" w:hAnsi="宋体" w:cs="Courier New"/>
          <w:szCs w:val="28"/>
        </w:rPr>
        <w:t>%、</w:t>
      </w:r>
      <w:r>
        <w:rPr>
          <w:rFonts w:ascii="宋体" w:hAnsi="宋体" w:cs="Courier New"/>
          <w:szCs w:val="28"/>
        </w:rPr>
        <w:t>企业50%，教师40%</w:t>
      </w:r>
      <w:r>
        <w:rPr>
          <w:rFonts w:hint="eastAsia" w:ascii="宋体" w:hAnsi="宋体" w:cs="Courier New"/>
          <w:szCs w:val="28"/>
        </w:rPr>
        <w:t>。</w:t>
      </w:r>
    </w:p>
    <w:p w14:paraId="5E91E910">
      <w:pPr>
        <w:ind w:right="140" w:rightChars="50" w:firstLine="0" w:firstLineChars="0"/>
        <w:rPr>
          <w:rFonts w:ascii="宋体" w:hAnsi="宋体" w:cs="Courier New"/>
          <w:szCs w:val="28"/>
        </w:rPr>
        <w:sectPr>
          <w:headerReference r:id="rId7" w:type="default"/>
          <w:footerReference r:id="rId8" w:type="default"/>
          <w:pgSz w:w="11906" w:h="16838"/>
          <w:pgMar w:top="1418" w:right="1418" w:bottom="1418" w:left="1418" w:header="851" w:footer="992" w:gutter="0"/>
          <w:pgNumType w:start="1"/>
          <w:cols w:space="425" w:num="1"/>
          <w:docGrid w:type="lines" w:linePitch="312" w:charSpace="0"/>
        </w:sectPr>
      </w:pPr>
    </w:p>
    <w:p w14:paraId="3F9CAACF">
      <w:pPr>
        <w:adjustRightInd w:val="0"/>
        <w:snapToGrid w:val="0"/>
        <w:spacing w:line="440" w:lineRule="exact"/>
        <w:ind w:right="140" w:rightChars="50" w:firstLine="548" w:firstLineChars="195"/>
        <w:jc w:val="left"/>
        <w:rPr>
          <w:rFonts w:ascii="宋体" w:hAnsi="宋体"/>
          <w:b/>
          <w:szCs w:val="28"/>
        </w:rPr>
      </w:pPr>
      <w:r>
        <w:rPr>
          <w:rFonts w:hint="eastAsia" w:ascii="宋体" w:hAnsi="宋体"/>
          <w:b/>
          <w:szCs w:val="28"/>
        </w:rPr>
        <w:t>七、教学进程执行总表：</w:t>
      </w:r>
    </w:p>
    <w:p w14:paraId="118A165C">
      <w:pPr>
        <w:adjustRightInd w:val="0"/>
        <w:snapToGrid w:val="0"/>
        <w:spacing w:line="440" w:lineRule="exact"/>
        <w:ind w:left="0" w:leftChars="0" w:right="140" w:rightChars="50" w:firstLine="0" w:firstLineChars="0"/>
        <w:jc w:val="left"/>
        <w:rPr>
          <w:rFonts w:hint="eastAsia" w:ascii="宋体" w:hAnsi="宋体" w:eastAsia="宋体"/>
          <w:b/>
          <w:szCs w:val="28"/>
          <w:lang w:eastAsia="zh-CN"/>
        </w:rPr>
      </w:pPr>
      <w:r>
        <w:rPr>
          <w:rFonts w:hint="eastAsia" w:ascii="宋体" w:hAnsi="宋体" w:eastAsia="宋体"/>
          <w:b/>
          <w:szCs w:val="28"/>
          <w:lang w:eastAsia="zh-CN"/>
        </w:rPr>
        <w:drawing>
          <wp:anchor distT="0" distB="0" distL="114300" distR="114300" simplePos="0" relativeHeight="251660288" behindDoc="0" locked="0" layoutInCell="1" allowOverlap="1">
            <wp:simplePos x="0" y="0"/>
            <wp:positionH relativeFrom="column">
              <wp:posOffset>0</wp:posOffset>
            </wp:positionH>
            <wp:positionV relativeFrom="paragraph">
              <wp:posOffset>120650</wp:posOffset>
            </wp:positionV>
            <wp:extent cx="6172200" cy="7399020"/>
            <wp:effectExtent l="0" t="0" r="0" b="7620"/>
            <wp:wrapSquare wrapText="bothSides"/>
            <wp:docPr id="1" name="图片 1" descr="25级精细化工专业人培方案(1)_全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5级精细化工专业人培方案(1)_全开"/>
                    <pic:cNvPicPr>
                      <a:picLocks noChangeAspect="1"/>
                    </pic:cNvPicPr>
                  </pic:nvPicPr>
                  <pic:blipFill>
                    <a:blip r:embed="rId11"/>
                    <a:stretch>
                      <a:fillRect/>
                    </a:stretch>
                  </pic:blipFill>
                  <pic:spPr>
                    <a:xfrm>
                      <a:off x="0" y="0"/>
                      <a:ext cx="6172200" cy="7399020"/>
                    </a:xfrm>
                    <a:prstGeom prst="rect">
                      <a:avLst/>
                    </a:prstGeom>
                  </pic:spPr>
                </pic:pic>
              </a:graphicData>
            </a:graphic>
          </wp:anchor>
        </w:drawing>
      </w:r>
    </w:p>
    <w:p w14:paraId="4DEE6141">
      <w:pPr>
        <w:spacing w:line="20" w:lineRule="exact"/>
        <w:ind w:right="140" w:rightChars="50" w:firstLine="560"/>
        <w:rPr>
          <w:rFonts w:ascii="宋体" w:hAnsi="宋体" w:cs="Courier New"/>
          <w:szCs w:val="28"/>
        </w:rPr>
      </w:pPr>
    </w:p>
    <w:p w14:paraId="48AC9905">
      <w:pPr>
        <w:ind w:firstLine="560"/>
      </w:pPr>
    </w:p>
    <w:sectPr>
      <w:pgSz w:w="11906" w:h="16838"/>
      <w:pgMar w:top="1440" w:right="1080" w:bottom="1440" w:left="1080" w:header="851" w:footer="992" w:gutter="0"/>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C1547">
    <w:pPr>
      <w:pStyle w:val="13"/>
      <w:framePr w:wrap="around" w:vAnchor="text" w:hAnchor="margin" w:xAlign="center" w:y="1"/>
      <w:ind w:firstLine="360"/>
      <w:rPr>
        <w:rStyle w:val="25"/>
      </w:rPr>
    </w:pPr>
    <w:r>
      <w:fldChar w:fldCharType="begin"/>
    </w:r>
    <w:r>
      <w:rPr>
        <w:rStyle w:val="25"/>
      </w:rPr>
      <w:instrText xml:space="preserve">PAGE  </w:instrText>
    </w:r>
    <w:r>
      <w:fldChar w:fldCharType="end"/>
    </w:r>
  </w:p>
  <w:p w14:paraId="22CCF420">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E528D">
    <w:pPr>
      <w:pStyle w:val="13"/>
      <w:framePr w:wrap="around" w:vAnchor="text" w:hAnchor="margin" w:xAlign="center" w:y="1"/>
      <w:ind w:firstLine="360"/>
      <w:rPr>
        <w:rStyle w:val="25"/>
      </w:rPr>
    </w:pPr>
    <w:r>
      <w:rPr>
        <w:rStyle w:val="25"/>
      </w:rPr>
      <w:fldChar w:fldCharType="begin"/>
    </w:r>
    <w:r>
      <w:rPr>
        <w:rStyle w:val="25"/>
      </w:rPr>
      <w:instrText xml:space="preserve">PAGE  </w:instrText>
    </w:r>
    <w:r>
      <w:rPr>
        <w:rStyle w:val="25"/>
      </w:rPr>
      <w:fldChar w:fldCharType="separate"/>
    </w:r>
    <w:r>
      <w:rPr>
        <w:rStyle w:val="25"/>
      </w:rPr>
      <w:t>15</w:t>
    </w:r>
    <w:r>
      <w:rPr>
        <w:rStyle w:val="25"/>
      </w:rPr>
      <w:fldChar w:fldCharType="end"/>
    </w:r>
  </w:p>
  <w:p w14:paraId="15927F09">
    <w:pPr>
      <w:pStyle w:val="1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E0847">
    <w:pPr>
      <w:pStyle w:val="14"/>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08D18">
    <w:pPr>
      <w:pStyle w:val="14"/>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B993FD"/>
    <w:multiLevelType w:val="singleLevel"/>
    <w:tmpl w:val="CAB993FD"/>
    <w:lvl w:ilvl="0" w:tentative="0">
      <w:start w:val="1"/>
      <w:numFmt w:val="decimal"/>
      <w:suff w:val="nothing"/>
      <w:lvlText w:val="%1."/>
      <w:lvlJc w:val="left"/>
      <w:pPr>
        <w:ind w:left="0" w:leftChars="0" w:firstLine="454" w:firstLineChars="0"/>
      </w:pPr>
      <w:rPr>
        <w:rFonts w:hint="default"/>
      </w:rPr>
    </w:lvl>
  </w:abstractNum>
  <w:abstractNum w:abstractNumId="1">
    <w:nsid w:val="D26B1A36"/>
    <w:multiLevelType w:val="singleLevel"/>
    <w:tmpl w:val="D26B1A36"/>
    <w:lvl w:ilvl="0" w:tentative="0">
      <w:start w:val="1"/>
      <w:numFmt w:val="decimal"/>
      <w:suff w:val="nothing"/>
      <w:lvlText w:val="%1."/>
      <w:lvlJc w:val="left"/>
      <w:pPr>
        <w:ind w:left="0" w:leftChars="0" w:firstLine="454" w:firstLineChars="0"/>
      </w:pPr>
      <w:rPr>
        <w:rFonts w:hint="default"/>
      </w:rPr>
    </w:lvl>
  </w:abstractNum>
  <w:abstractNum w:abstractNumId="2">
    <w:nsid w:val="5F5050F9"/>
    <w:multiLevelType w:val="singleLevel"/>
    <w:tmpl w:val="5F5050F9"/>
    <w:lvl w:ilvl="0" w:tentative="0">
      <w:start w:val="1"/>
      <w:numFmt w:val="decimal"/>
      <w:suff w:val="nothing"/>
      <w:lvlText w:val="%1."/>
      <w:lvlJc w:val="left"/>
      <w:pPr>
        <w:ind w:left="0" w:leftChars="0" w:firstLine="454" w:firstLineChars="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HorizontalSpacing w:val="140"/>
  <w:drawingGridVerticalSpacing w:val="38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AzOGIzZTg0ZDRjOTQ5ZjU3ZGVmNWIyYTJlYTY3MDgifQ=="/>
  </w:docVars>
  <w:rsids>
    <w:rsidRoot w:val="00CE3978"/>
    <w:rsid w:val="00001F68"/>
    <w:rsid w:val="00004E8F"/>
    <w:rsid w:val="00006632"/>
    <w:rsid w:val="00010B71"/>
    <w:rsid w:val="000119DC"/>
    <w:rsid w:val="000174E5"/>
    <w:rsid w:val="00022CB9"/>
    <w:rsid w:val="0003077E"/>
    <w:rsid w:val="00031FB9"/>
    <w:rsid w:val="00037C5A"/>
    <w:rsid w:val="00044630"/>
    <w:rsid w:val="00050733"/>
    <w:rsid w:val="00053B1D"/>
    <w:rsid w:val="00055CA8"/>
    <w:rsid w:val="00056073"/>
    <w:rsid w:val="00060457"/>
    <w:rsid w:val="00070667"/>
    <w:rsid w:val="00070699"/>
    <w:rsid w:val="00073420"/>
    <w:rsid w:val="00075D67"/>
    <w:rsid w:val="00076C7A"/>
    <w:rsid w:val="0008238F"/>
    <w:rsid w:val="00082E00"/>
    <w:rsid w:val="00083114"/>
    <w:rsid w:val="00091A7E"/>
    <w:rsid w:val="00093E17"/>
    <w:rsid w:val="0009724E"/>
    <w:rsid w:val="000A2023"/>
    <w:rsid w:val="000B0C74"/>
    <w:rsid w:val="000B76FA"/>
    <w:rsid w:val="000C296D"/>
    <w:rsid w:val="000C48DD"/>
    <w:rsid w:val="000C62AC"/>
    <w:rsid w:val="000D1F07"/>
    <w:rsid w:val="000D3FDD"/>
    <w:rsid w:val="000D77ED"/>
    <w:rsid w:val="000D7EEA"/>
    <w:rsid w:val="000E4A0F"/>
    <w:rsid w:val="000F1831"/>
    <w:rsid w:val="000F28BE"/>
    <w:rsid w:val="00101792"/>
    <w:rsid w:val="001045F7"/>
    <w:rsid w:val="0010667B"/>
    <w:rsid w:val="001109EB"/>
    <w:rsid w:val="00114B2D"/>
    <w:rsid w:val="0011693B"/>
    <w:rsid w:val="00121891"/>
    <w:rsid w:val="001220B1"/>
    <w:rsid w:val="00124265"/>
    <w:rsid w:val="001250B9"/>
    <w:rsid w:val="001338E8"/>
    <w:rsid w:val="00136F17"/>
    <w:rsid w:val="00142BC8"/>
    <w:rsid w:val="00147628"/>
    <w:rsid w:val="0016576B"/>
    <w:rsid w:val="001708B7"/>
    <w:rsid w:val="00172DE4"/>
    <w:rsid w:val="00173427"/>
    <w:rsid w:val="001818F4"/>
    <w:rsid w:val="00186F59"/>
    <w:rsid w:val="00194459"/>
    <w:rsid w:val="001A1FE3"/>
    <w:rsid w:val="001A6ACD"/>
    <w:rsid w:val="001B1D62"/>
    <w:rsid w:val="001B5C33"/>
    <w:rsid w:val="001B6DAA"/>
    <w:rsid w:val="001C259F"/>
    <w:rsid w:val="001C75B5"/>
    <w:rsid w:val="001C77A8"/>
    <w:rsid w:val="001D19DE"/>
    <w:rsid w:val="001D6124"/>
    <w:rsid w:val="001E0FDF"/>
    <w:rsid w:val="001E26E9"/>
    <w:rsid w:val="001E4C8F"/>
    <w:rsid w:val="001E4EA2"/>
    <w:rsid w:val="001E5169"/>
    <w:rsid w:val="001F11F1"/>
    <w:rsid w:val="001F2D59"/>
    <w:rsid w:val="001F3ECD"/>
    <w:rsid w:val="001F3F54"/>
    <w:rsid w:val="00201E96"/>
    <w:rsid w:val="00211E95"/>
    <w:rsid w:val="00214AC1"/>
    <w:rsid w:val="0022582A"/>
    <w:rsid w:val="002273C9"/>
    <w:rsid w:val="00242639"/>
    <w:rsid w:val="00243675"/>
    <w:rsid w:val="00243698"/>
    <w:rsid w:val="002465EA"/>
    <w:rsid w:val="00252BD6"/>
    <w:rsid w:val="002531C5"/>
    <w:rsid w:val="00253478"/>
    <w:rsid w:val="002538EA"/>
    <w:rsid w:val="00260858"/>
    <w:rsid w:val="00261E5C"/>
    <w:rsid w:val="00267B7D"/>
    <w:rsid w:val="00271E28"/>
    <w:rsid w:val="002845E5"/>
    <w:rsid w:val="00286C66"/>
    <w:rsid w:val="00286E7F"/>
    <w:rsid w:val="0029073F"/>
    <w:rsid w:val="00292381"/>
    <w:rsid w:val="0029264C"/>
    <w:rsid w:val="002965F2"/>
    <w:rsid w:val="002972E0"/>
    <w:rsid w:val="002A7712"/>
    <w:rsid w:val="002B1F98"/>
    <w:rsid w:val="002B3A70"/>
    <w:rsid w:val="002B5011"/>
    <w:rsid w:val="002C1281"/>
    <w:rsid w:val="002C18CD"/>
    <w:rsid w:val="002C74FD"/>
    <w:rsid w:val="002C7C30"/>
    <w:rsid w:val="002D1C3F"/>
    <w:rsid w:val="002E1E49"/>
    <w:rsid w:val="002E1F3F"/>
    <w:rsid w:val="002E3785"/>
    <w:rsid w:val="002E52F5"/>
    <w:rsid w:val="002E6507"/>
    <w:rsid w:val="002E67A2"/>
    <w:rsid w:val="002E6B35"/>
    <w:rsid w:val="002F402B"/>
    <w:rsid w:val="002F5F73"/>
    <w:rsid w:val="00300A1C"/>
    <w:rsid w:val="00312984"/>
    <w:rsid w:val="00320B3F"/>
    <w:rsid w:val="003311A5"/>
    <w:rsid w:val="00332BAE"/>
    <w:rsid w:val="003404FC"/>
    <w:rsid w:val="003409D8"/>
    <w:rsid w:val="00344641"/>
    <w:rsid w:val="0035140E"/>
    <w:rsid w:val="0035209B"/>
    <w:rsid w:val="00355CE7"/>
    <w:rsid w:val="00363DCD"/>
    <w:rsid w:val="0037013C"/>
    <w:rsid w:val="00370BDF"/>
    <w:rsid w:val="00371719"/>
    <w:rsid w:val="00383444"/>
    <w:rsid w:val="00386E1B"/>
    <w:rsid w:val="003902E9"/>
    <w:rsid w:val="00391126"/>
    <w:rsid w:val="003923B3"/>
    <w:rsid w:val="00397377"/>
    <w:rsid w:val="003A017D"/>
    <w:rsid w:val="003A27DF"/>
    <w:rsid w:val="003A4800"/>
    <w:rsid w:val="003B219E"/>
    <w:rsid w:val="003B53E7"/>
    <w:rsid w:val="003B6918"/>
    <w:rsid w:val="003C408C"/>
    <w:rsid w:val="003C4B2E"/>
    <w:rsid w:val="003C5E0C"/>
    <w:rsid w:val="003D50FC"/>
    <w:rsid w:val="003D7D5B"/>
    <w:rsid w:val="003E2358"/>
    <w:rsid w:val="003E5A27"/>
    <w:rsid w:val="003F08A6"/>
    <w:rsid w:val="003F1C8D"/>
    <w:rsid w:val="003F2565"/>
    <w:rsid w:val="003F4394"/>
    <w:rsid w:val="003F5442"/>
    <w:rsid w:val="00401F29"/>
    <w:rsid w:val="004035A3"/>
    <w:rsid w:val="004053B0"/>
    <w:rsid w:val="00407A3D"/>
    <w:rsid w:val="00413323"/>
    <w:rsid w:val="00415B73"/>
    <w:rsid w:val="0042040C"/>
    <w:rsid w:val="00420DE4"/>
    <w:rsid w:val="00423C87"/>
    <w:rsid w:val="0043336A"/>
    <w:rsid w:val="004334D3"/>
    <w:rsid w:val="004346F1"/>
    <w:rsid w:val="00437A6C"/>
    <w:rsid w:val="00437CDB"/>
    <w:rsid w:val="004411FE"/>
    <w:rsid w:val="0044519C"/>
    <w:rsid w:val="00447246"/>
    <w:rsid w:val="00447F4F"/>
    <w:rsid w:val="0045049D"/>
    <w:rsid w:val="00450CCE"/>
    <w:rsid w:val="00454923"/>
    <w:rsid w:val="00455F18"/>
    <w:rsid w:val="00460A35"/>
    <w:rsid w:val="00461B81"/>
    <w:rsid w:val="00465FA0"/>
    <w:rsid w:val="0046719E"/>
    <w:rsid w:val="00470983"/>
    <w:rsid w:val="00470CD2"/>
    <w:rsid w:val="00472980"/>
    <w:rsid w:val="00472AE6"/>
    <w:rsid w:val="00473A7E"/>
    <w:rsid w:val="004779E3"/>
    <w:rsid w:val="0048039E"/>
    <w:rsid w:val="00483ADE"/>
    <w:rsid w:val="00483AE2"/>
    <w:rsid w:val="00484A4B"/>
    <w:rsid w:val="00486A8F"/>
    <w:rsid w:val="00490D49"/>
    <w:rsid w:val="004A0FED"/>
    <w:rsid w:val="004A1A79"/>
    <w:rsid w:val="004A1FF8"/>
    <w:rsid w:val="004A39BD"/>
    <w:rsid w:val="004A6F3E"/>
    <w:rsid w:val="004B1ADC"/>
    <w:rsid w:val="004B4FCA"/>
    <w:rsid w:val="004B67CC"/>
    <w:rsid w:val="004B68AA"/>
    <w:rsid w:val="004B754F"/>
    <w:rsid w:val="004C7678"/>
    <w:rsid w:val="004D1BE3"/>
    <w:rsid w:val="004D2DFA"/>
    <w:rsid w:val="004D3090"/>
    <w:rsid w:val="004D5FF1"/>
    <w:rsid w:val="004D762B"/>
    <w:rsid w:val="004E6B65"/>
    <w:rsid w:val="004E7042"/>
    <w:rsid w:val="00500BF6"/>
    <w:rsid w:val="00501CA4"/>
    <w:rsid w:val="0051337C"/>
    <w:rsid w:val="00515E32"/>
    <w:rsid w:val="005201EB"/>
    <w:rsid w:val="00520A88"/>
    <w:rsid w:val="0052258B"/>
    <w:rsid w:val="0052446E"/>
    <w:rsid w:val="00524D39"/>
    <w:rsid w:val="00525391"/>
    <w:rsid w:val="00534DA8"/>
    <w:rsid w:val="00537333"/>
    <w:rsid w:val="00541C5B"/>
    <w:rsid w:val="00543BC8"/>
    <w:rsid w:val="00550467"/>
    <w:rsid w:val="00555DB6"/>
    <w:rsid w:val="00557332"/>
    <w:rsid w:val="00562550"/>
    <w:rsid w:val="00576BEB"/>
    <w:rsid w:val="005835E3"/>
    <w:rsid w:val="00592E30"/>
    <w:rsid w:val="00594B36"/>
    <w:rsid w:val="00597336"/>
    <w:rsid w:val="00597FB2"/>
    <w:rsid w:val="005A0D10"/>
    <w:rsid w:val="005A3BBE"/>
    <w:rsid w:val="005A4BD7"/>
    <w:rsid w:val="005A6ED0"/>
    <w:rsid w:val="005A76B0"/>
    <w:rsid w:val="005B1613"/>
    <w:rsid w:val="005B2416"/>
    <w:rsid w:val="005B2A3B"/>
    <w:rsid w:val="005B7AAE"/>
    <w:rsid w:val="005B7FD0"/>
    <w:rsid w:val="005C04C8"/>
    <w:rsid w:val="005C1BBE"/>
    <w:rsid w:val="005C2DAA"/>
    <w:rsid w:val="005C3B22"/>
    <w:rsid w:val="005D02EF"/>
    <w:rsid w:val="005D07A4"/>
    <w:rsid w:val="005D69D4"/>
    <w:rsid w:val="005E02DC"/>
    <w:rsid w:val="005E51F5"/>
    <w:rsid w:val="005F4D24"/>
    <w:rsid w:val="005F79A1"/>
    <w:rsid w:val="00602005"/>
    <w:rsid w:val="00604C0A"/>
    <w:rsid w:val="006104DD"/>
    <w:rsid w:val="006106C4"/>
    <w:rsid w:val="0062201E"/>
    <w:rsid w:val="00622B5C"/>
    <w:rsid w:val="00627145"/>
    <w:rsid w:val="0063192B"/>
    <w:rsid w:val="00633494"/>
    <w:rsid w:val="006376A8"/>
    <w:rsid w:val="00643981"/>
    <w:rsid w:val="006440E9"/>
    <w:rsid w:val="00650238"/>
    <w:rsid w:val="006552CB"/>
    <w:rsid w:val="00660EB3"/>
    <w:rsid w:val="00662231"/>
    <w:rsid w:val="00664E93"/>
    <w:rsid w:val="00667AD2"/>
    <w:rsid w:val="00670D87"/>
    <w:rsid w:val="00673CF0"/>
    <w:rsid w:val="00684F70"/>
    <w:rsid w:val="00694A4F"/>
    <w:rsid w:val="00696251"/>
    <w:rsid w:val="00697C1C"/>
    <w:rsid w:val="00697F2E"/>
    <w:rsid w:val="006C0280"/>
    <w:rsid w:val="006C0B4A"/>
    <w:rsid w:val="006C6922"/>
    <w:rsid w:val="006E4D1C"/>
    <w:rsid w:val="006E5917"/>
    <w:rsid w:val="006E72F9"/>
    <w:rsid w:val="006E7F19"/>
    <w:rsid w:val="006F0E6E"/>
    <w:rsid w:val="006F1D3A"/>
    <w:rsid w:val="006F4322"/>
    <w:rsid w:val="0070262B"/>
    <w:rsid w:val="007029B0"/>
    <w:rsid w:val="00707407"/>
    <w:rsid w:val="00710710"/>
    <w:rsid w:val="00711CB8"/>
    <w:rsid w:val="00714443"/>
    <w:rsid w:val="00720EA7"/>
    <w:rsid w:val="00723F76"/>
    <w:rsid w:val="00735379"/>
    <w:rsid w:val="00736074"/>
    <w:rsid w:val="007376E5"/>
    <w:rsid w:val="00741BD7"/>
    <w:rsid w:val="007549A5"/>
    <w:rsid w:val="00755539"/>
    <w:rsid w:val="00764B82"/>
    <w:rsid w:val="00765A3E"/>
    <w:rsid w:val="00766A9A"/>
    <w:rsid w:val="0077141E"/>
    <w:rsid w:val="00771D3E"/>
    <w:rsid w:val="00772D17"/>
    <w:rsid w:val="00773043"/>
    <w:rsid w:val="00781BAE"/>
    <w:rsid w:val="007861C1"/>
    <w:rsid w:val="00797FF8"/>
    <w:rsid w:val="007A092B"/>
    <w:rsid w:val="007A2FE7"/>
    <w:rsid w:val="007A5CCF"/>
    <w:rsid w:val="007A79BC"/>
    <w:rsid w:val="007D252E"/>
    <w:rsid w:val="007D3D0F"/>
    <w:rsid w:val="007E4540"/>
    <w:rsid w:val="007F46AE"/>
    <w:rsid w:val="007F5594"/>
    <w:rsid w:val="007F58E3"/>
    <w:rsid w:val="00806BB1"/>
    <w:rsid w:val="008167B8"/>
    <w:rsid w:val="00820326"/>
    <w:rsid w:val="00821986"/>
    <w:rsid w:val="00827795"/>
    <w:rsid w:val="0083036E"/>
    <w:rsid w:val="00833729"/>
    <w:rsid w:val="00834C88"/>
    <w:rsid w:val="00834CA0"/>
    <w:rsid w:val="0083582E"/>
    <w:rsid w:val="00837D1A"/>
    <w:rsid w:val="008416D5"/>
    <w:rsid w:val="008438BF"/>
    <w:rsid w:val="0086155A"/>
    <w:rsid w:val="008734DC"/>
    <w:rsid w:val="00877849"/>
    <w:rsid w:val="0088069F"/>
    <w:rsid w:val="00884154"/>
    <w:rsid w:val="0088471C"/>
    <w:rsid w:val="00895E75"/>
    <w:rsid w:val="00896D01"/>
    <w:rsid w:val="008A709E"/>
    <w:rsid w:val="008A75BA"/>
    <w:rsid w:val="008B2C59"/>
    <w:rsid w:val="008B39AA"/>
    <w:rsid w:val="008B5674"/>
    <w:rsid w:val="008B61F0"/>
    <w:rsid w:val="008B788F"/>
    <w:rsid w:val="008C07ED"/>
    <w:rsid w:val="008C089A"/>
    <w:rsid w:val="008C5773"/>
    <w:rsid w:val="008C68F7"/>
    <w:rsid w:val="008C730A"/>
    <w:rsid w:val="008D0533"/>
    <w:rsid w:val="008D0978"/>
    <w:rsid w:val="008D3F2A"/>
    <w:rsid w:val="008D65FB"/>
    <w:rsid w:val="008E061D"/>
    <w:rsid w:val="008E185D"/>
    <w:rsid w:val="008E20FE"/>
    <w:rsid w:val="008F0AC2"/>
    <w:rsid w:val="008F51EE"/>
    <w:rsid w:val="009050F7"/>
    <w:rsid w:val="00910A18"/>
    <w:rsid w:val="009147F3"/>
    <w:rsid w:val="00915812"/>
    <w:rsid w:val="00917382"/>
    <w:rsid w:val="0093143E"/>
    <w:rsid w:val="00935CC4"/>
    <w:rsid w:val="00936578"/>
    <w:rsid w:val="00937009"/>
    <w:rsid w:val="0094615A"/>
    <w:rsid w:val="00950BD8"/>
    <w:rsid w:val="00957196"/>
    <w:rsid w:val="0096344A"/>
    <w:rsid w:val="0096712F"/>
    <w:rsid w:val="009711D9"/>
    <w:rsid w:val="00971365"/>
    <w:rsid w:val="0097166A"/>
    <w:rsid w:val="00974C78"/>
    <w:rsid w:val="00977F5C"/>
    <w:rsid w:val="009850AC"/>
    <w:rsid w:val="009857C6"/>
    <w:rsid w:val="00990DD7"/>
    <w:rsid w:val="00991B0E"/>
    <w:rsid w:val="009A52C6"/>
    <w:rsid w:val="009C2523"/>
    <w:rsid w:val="009C2BFD"/>
    <w:rsid w:val="009C38C9"/>
    <w:rsid w:val="009C3BEA"/>
    <w:rsid w:val="009C4FD7"/>
    <w:rsid w:val="009D096D"/>
    <w:rsid w:val="009D132F"/>
    <w:rsid w:val="009D2E4D"/>
    <w:rsid w:val="009D5EFA"/>
    <w:rsid w:val="009E06C6"/>
    <w:rsid w:val="009E3040"/>
    <w:rsid w:val="00A00CB9"/>
    <w:rsid w:val="00A10AA8"/>
    <w:rsid w:val="00A154EB"/>
    <w:rsid w:val="00A17092"/>
    <w:rsid w:val="00A214FB"/>
    <w:rsid w:val="00A2720A"/>
    <w:rsid w:val="00A324FB"/>
    <w:rsid w:val="00A32646"/>
    <w:rsid w:val="00A331FA"/>
    <w:rsid w:val="00A35C75"/>
    <w:rsid w:val="00A40B3E"/>
    <w:rsid w:val="00A43E76"/>
    <w:rsid w:val="00A43FF4"/>
    <w:rsid w:val="00A46A9E"/>
    <w:rsid w:val="00A46C69"/>
    <w:rsid w:val="00A562A5"/>
    <w:rsid w:val="00A57B1D"/>
    <w:rsid w:val="00A60FCD"/>
    <w:rsid w:val="00A63CF7"/>
    <w:rsid w:val="00A63FD8"/>
    <w:rsid w:val="00A80066"/>
    <w:rsid w:val="00A80CD9"/>
    <w:rsid w:val="00A82B7D"/>
    <w:rsid w:val="00A93EB6"/>
    <w:rsid w:val="00AA57FE"/>
    <w:rsid w:val="00AA6786"/>
    <w:rsid w:val="00AB6DE0"/>
    <w:rsid w:val="00AC02CD"/>
    <w:rsid w:val="00AC0A24"/>
    <w:rsid w:val="00AC26A1"/>
    <w:rsid w:val="00AC31F4"/>
    <w:rsid w:val="00AD3E30"/>
    <w:rsid w:val="00AD5C4C"/>
    <w:rsid w:val="00AD7168"/>
    <w:rsid w:val="00AE4658"/>
    <w:rsid w:val="00AE7A59"/>
    <w:rsid w:val="00AF1A1D"/>
    <w:rsid w:val="00B051FC"/>
    <w:rsid w:val="00B14D0A"/>
    <w:rsid w:val="00B1596E"/>
    <w:rsid w:val="00B16C2C"/>
    <w:rsid w:val="00B249F8"/>
    <w:rsid w:val="00B2665D"/>
    <w:rsid w:val="00B33A04"/>
    <w:rsid w:val="00B34801"/>
    <w:rsid w:val="00B407FE"/>
    <w:rsid w:val="00B41D3D"/>
    <w:rsid w:val="00B47DBD"/>
    <w:rsid w:val="00B52BFD"/>
    <w:rsid w:val="00B5502E"/>
    <w:rsid w:val="00B5760D"/>
    <w:rsid w:val="00B57BC6"/>
    <w:rsid w:val="00B6391A"/>
    <w:rsid w:val="00B67F0C"/>
    <w:rsid w:val="00B70F38"/>
    <w:rsid w:val="00B7373C"/>
    <w:rsid w:val="00B806B9"/>
    <w:rsid w:val="00B903BB"/>
    <w:rsid w:val="00B90562"/>
    <w:rsid w:val="00B918FA"/>
    <w:rsid w:val="00B948AE"/>
    <w:rsid w:val="00B94B3A"/>
    <w:rsid w:val="00BA188F"/>
    <w:rsid w:val="00BA3B14"/>
    <w:rsid w:val="00BA655C"/>
    <w:rsid w:val="00BB79E2"/>
    <w:rsid w:val="00BC1AC5"/>
    <w:rsid w:val="00BC2FFA"/>
    <w:rsid w:val="00BC433E"/>
    <w:rsid w:val="00BC4993"/>
    <w:rsid w:val="00BC5324"/>
    <w:rsid w:val="00BD10EC"/>
    <w:rsid w:val="00BD374A"/>
    <w:rsid w:val="00BD51DD"/>
    <w:rsid w:val="00BD6041"/>
    <w:rsid w:val="00BE286B"/>
    <w:rsid w:val="00BE50DD"/>
    <w:rsid w:val="00BE5435"/>
    <w:rsid w:val="00BE546B"/>
    <w:rsid w:val="00BE62EE"/>
    <w:rsid w:val="00BF0C2E"/>
    <w:rsid w:val="00BF243A"/>
    <w:rsid w:val="00BF2E28"/>
    <w:rsid w:val="00BF4299"/>
    <w:rsid w:val="00BF52CF"/>
    <w:rsid w:val="00C00AF3"/>
    <w:rsid w:val="00C01D26"/>
    <w:rsid w:val="00C0315A"/>
    <w:rsid w:val="00C1079C"/>
    <w:rsid w:val="00C109BF"/>
    <w:rsid w:val="00C12A57"/>
    <w:rsid w:val="00C17A86"/>
    <w:rsid w:val="00C21F7F"/>
    <w:rsid w:val="00C24971"/>
    <w:rsid w:val="00C30F65"/>
    <w:rsid w:val="00C33847"/>
    <w:rsid w:val="00C35014"/>
    <w:rsid w:val="00C423E5"/>
    <w:rsid w:val="00C4701F"/>
    <w:rsid w:val="00C508CB"/>
    <w:rsid w:val="00C53851"/>
    <w:rsid w:val="00C53F44"/>
    <w:rsid w:val="00C801C2"/>
    <w:rsid w:val="00C82DB7"/>
    <w:rsid w:val="00C8359E"/>
    <w:rsid w:val="00C853ED"/>
    <w:rsid w:val="00C91937"/>
    <w:rsid w:val="00C9296C"/>
    <w:rsid w:val="00C92A89"/>
    <w:rsid w:val="00C930EF"/>
    <w:rsid w:val="00C960CC"/>
    <w:rsid w:val="00C96EB3"/>
    <w:rsid w:val="00CA4BD9"/>
    <w:rsid w:val="00CA7048"/>
    <w:rsid w:val="00CA7E1D"/>
    <w:rsid w:val="00CB3063"/>
    <w:rsid w:val="00CC18F8"/>
    <w:rsid w:val="00CC527A"/>
    <w:rsid w:val="00CC57F2"/>
    <w:rsid w:val="00CD062D"/>
    <w:rsid w:val="00CD79DC"/>
    <w:rsid w:val="00CE296E"/>
    <w:rsid w:val="00CE3978"/>
    <w:rsid w:val="00CE3E9D"/>
    <w:rsid w:val="00CF14D0"/>
    <w:rsid w:val="00CF46A4"/>
    <w:rsid w:val="00D026FD"/>
    <w:rsid w:val="00D04121"/>
    <w:rsid w:val="00D12840"/>
    <w:rsid w:val="00D132D8"/>
    <w:rsid w:val="00D15155"/>
    <w:rsid w:val="00D21502"/>
    <w:rsid w:val="00D22377"/>
    <w:rsid w:val="00D231C2"/>
    <w:rsid w:val="00D25AED"/>
    <w:rsid w:val="00D2694E"/>
    <w:rsid w:val="00D27A3C"/>
    <w:rsid w:val="00D34B5E"/>
    <w:rsid w:val="00D3635F"/>
    <w:rsid w:val="00D42AF7"/>
    <w:rsid w:val="00D45CE9"/>
    <w:rsid w:val="00D46740"/>
    <w:rsid w:val="00D47502"/>
    <w:rsid w:val="00D50367"/>
    <w:rsid w:val="00D50AA1"/>
    <w:rsid w:val="00D50BFA"/>
    <w:rsid w:val="00D52321"/>
    <w:rsid w:val="00D57848"/>
    <w:rsid w:val="00D658D9"/>
    <w:rsid w:val="00D67CE7"/>
    <w:rsid w:val="00D708B7"/>
    <w:rsid w:val="00D7246C"/>
    <w:rsid w:val="00D73E53"/>
    <w:rsid w:val="00D7602B"/>
    <w:rsid w:val="00D765C8"/>
    <w:rsid w:val="00D80055"/>
    <w:rsid w:val="00D813C1"/>
    <w:rsid w:val="00D84DDF"/>
    <w:rsid w:val="00D94830"/>
    <w:rsid w:val="00D96185"/>
    <w:rsid w:val="00DA04D5"/>
    <w:rsid w:val="00DA055F"/>
    <w:rsid w:val="00DA0C07"/>
    <w:rsid w:val="00DA2094"/>
    <w:rsid w:val="00DA42F9"/>
    <w:rsid w:val="00DA500A"/>
    <w:rsid w:val="00DB3263"/>
    <w:rsid w:val="00DB5046"/>
    <w:rsid w:val="00DB69F3"/>
    <w:rsid w:val="00DC5EBF"/>
    <w:rsid w:val="00DD0937"/>
    <w:rsid w:val="00DD7AD2"/>
    <w:rsid w:val="00DE6E63"/>
    <w:rsid w:val="00DE7659"/>
    <w:rsid w:val="00DF2895"/>
    <w:rsid w:val="00E11386"/>
    <w:rsid w:val="00E126B0"/>
    <w:rsid w:val="00E22FCB"/>
    <w:rsid w:val="00E2513E"/>
    <w:rsid w:val="00E3151B"/>
    <w:rsid w:val="00E33B51"/>
    <w:rsid w:val="00E34628"/>
    <w:rsid w:val="00E36412"/>
    <w:rsid w:val="00E364FA"/>
    <w:rsid w:val="00E4010E"/>
    <w:rsid w:val="00E40A0D"/>
    <w:rsid w:val="00E41A21"/>
    <w:rsid w:val="00E43EDA"/>
    <w:rsid w:val="00E4513C"/>
    <w:rsid w:val="00E4610B"/>
    <w:rsid w:val="00E473A3"/>
    <w:rsid w:val="00E507FE"/>
    <w:rsid w:val="00E50885"/>
    <w:rsid w:val="00E53212"/>
    <w:rsid w:val="00E541AE"/>
    <w:rsid w:val="00E63F76"/>
    <w:rsid w:val="00E65AC5"/>
    <w:rsid w:val="00E72B8D"/>
    <w:rsid w:val="00E744FA"/>
    <w:rsid w:val="00E81B48"/>
    <w:rsid w:val="00E938AD"/>
    <w:rsid w:val="00E967FE"/>
    <w:rsid w:val="00EA698C"/>
    <w:rsid w:val="00EB13EC"/>
    <w:rsid w:val="00EB6A8B"/>
    <w:rsid w:val="00EC18D6"/>
    <w:rsid w:val="00EC7D9D"/>
    <w:rsid w:val="00ED397E"/>
    <w:rsid w:val="00ED6B59"/>
    <w:rsid w:val="00EE0AB4"/>
    <w:rsid w:val="00EE3530"/>
    <w:rsid w:val="00EE6DC5"/>
    <w:rsid w:val="00EE7BEB"/>
    <w:rsid w:val="00EF4255"/>
    <w:rsid w:val="00EF5A79"/>
    <w:rsid w:val="00EF7557"/>
    <w:rsid w:val="00F000C6"/>
    <w:rsid w:val="00F12487"/>
    <w:rsid w:val="00F13A7B"/>
    <w:rsid w:val="00F14648"/>
    <w:rsid w:val="00F15F6C"/>
    <w:rsid w:val="00F167FF"/>
    <w:rsid w:val="00F21F9D"/>
    <w:rsid w:val="00F229DF"/>
    <w:rsid w:val="00F30834"/>
    <w:rsid w:val="00F30D21"/>
    <w:rsid w:val="00F32EF8"/>
    <w:rsid w:val="00F337CC"/>
    <w:rsid w:val="00F4481A"/>
    <w:rsid w:val="00F5141C"/>
    <w:rsid w:val="00F61CDE"/>
    <w:rsid w:val="00F62BE8"/>
    <w:rsid w:val="00F63664"/>
    <w:rsid w:val="00F66298"/>
    <w:rsid w:val="00F72107"/>
    <w:rsid w:val="00F73625"/>
    <w:rsid w:val="00F74CFD"/>
    <w:rsid w:val="00F80725"/>
    <w:rsid w:val="00F830C0"/>
    <w:rsid w:val="00F8566E"/>
    <w:rsid w:val="00F9121D"/>
    <w:rsid w:val="00F95C19"/>
    <w:rsid w:val="00FA6C98"/>
    <w:rsid w:val="00FB1FDF"/>
    <w:rsid w:val="00FB4070"/>
    <w:rsid w:val="00FD1815"/>
    <w:rsid w:val="00FD36FD"/>
    <w:rsid w:val="00FD3B9B"/>
    <w:rsid w:val="00FD501B"/>
    <w:rsid w:val="00FE34EE"/>
    <w:rsid w:val="00FE42A0"/>
    <w:rsid w:val="00FE625C"/>
    <w:rsid w:val="00FE6EBE"/>
    <w:rsid w:val="00FF09F3"/>
    <w:rsid w:val="00FF4F65"/>
    <w:rsid w:val="00FF51F4"/>
    <w:rsid w:val="00FF51FD"/>
    <w:rsid w:val="00FF52A4"/>
    <w:rsid w:val="00FF584C"/>
    <w:rsid w:val="00FF7CFC"/>
    <w:rsid w:val="01907A67"/>
    <w:rsid w:val="01C3246E"/>
    <w:rsid w:val="043B10FF"/>
    <w:rsid w:val="04833DF3"/>
    <w:rsid w:val="05F9301F"/>
    <w:rsid w:val="071F5F5E"/>
    <w:rsid w:val="078172BF"/>
    <w:rsid w:val="07C0358C"/>
    <w:rsid w:val="08C5055B"/>
    <w:rsid w:val="0A742C74"/>
    <w:rsid w:val="0B785945"/>
    <w:rsid w:val="0E2B3F92"/>
    <w:rsid w:val="0FD61300"/>
    <w:rsid w:val="12417D88"/>
    <w:rsid w:val="13F34762"/>
    <w:rsid w:val="14B3667C"/>
    <w:rsid w:val="15C36888"/>
    <w:rsid w:val="15CE2DDF"/>
    <w:rsid w:val="15CE39AC"/>
    <w:rsid w:val="17963A87"/>
    <w:rsid w:val="18CE470B"/>
    <w:rsid w:val="1C7E3249"/>
    <w:rsid w:val="1CF0144C"/>
    <w:rsid w:val="1E535557"/>
    <w:rsid w:val="1FEF2034"/>
    <w:rsid w:val="20FE1FC4"/>
    <w:rsid w:val="21E32960"/>
    <w:rsid w:val="24101142"/>
    <w:rsid w:val="2631661C"/>
    <w:rsid w:val="27464F22"/>
    <w:rsid w:val="27A0355B"/>
    <w:rsid w:val="27FA118A"/>
    <w:rsid w:val="2C6E4911"/>
    <w:rsid w:val="2CF518A7"/>
    <w:rsid w:val="2DCE24B5"/>
    <w:rsid w:val="2EF756D9"/>
    <w:rsid w:val="335A5D48"/>
    <w:rsid w:val="33AA1331"/>
    <w:rsid w:val="342521FA"/>
    <w:rsid w:val="34B17DD6"/>
    <w:rsid w:val="36BD34C4"/>
    <w:rsid w:val="37F05556"/>
    <w:rsid w:val="3B5A7228"/>
    <w:rsid w:val="3DD76E93"/>
    <w:rsid w:val="433A3625"/>
    <w:rsid w:val="44914516"/>
    <w:rsid w:val="495428BB"/>
    <w:rsid w:val="49544E39"/>
    <w:rsid w:val="4A8528A8"/>
    <w:rsid w:val="4B4A4064"/>
    <w:rsid w:val="4F061932"/>
    <w:rsid w:val="553625CD"/>
    <w:rsid w:val="57EA0D92"/>
    <w:rsid w:val="58A42FBE"/>
    <w:rsid w:val="5AB66870"/>
    <w:rsid w:val="5BDB3ECE"/>
    <w:rsid w:val="628146BE"/>
    <w:rsid w:val="639D5F0D"/>
    <w:rsid w:val="6750233B"/>
    <w:rsid w:val="6ABA1153"/>
    <w:rsid w:val="6E115DE7"/>
    <w:rsid w:val="712212A0"/>
    <w:rsid w:val="715C10BE"/>
    <w:rsid w:val="74A61FCD"/>
    <w:rsid w:val="7A8F16F8"/>
    <w:rsid w:val="7EB66005"/>
    <w:rsid w:val="7F213F0E"/>
    <w:rsid w:val="7FBB7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0" w:name="toc 5"/>
    <w:lsdException w:qFormat="1" w:unhideWhenUsed="0"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00" w:lineRule="exact"/>
      <w:ind w:firstLine="1120" w:firstLineChars="200"/>
      <w:jc w:val="both"/>
    </w:pPr>
    <w:rPr>
      <w:rFonts w:ascii="Times New Roman" w:hAnsi="Times New Roman" w:eastAsia="宋体" w:cs="Times New Roman"/>
      <w:kern w:val="2"/>
      <w:sz w:val="28"/>
      <w:szCs w:val="24"/>
      <w:lang w:val="en-US" w:eastAsia="zh-CN" w:bidi="ar-SA"/>
    </w:rPr>
  </w:style>
  <w:style w:type="paragraph" w:styleId="2">
    <w:name w:val="heading 1"/>
    <w:basedOn w:val="1"/>
    <w:next w:val="1"/>
    <w:link w:val="57"/>
    <w:qFormat/>
    <w:uiPriority w:val="9"/>
    <w:pPr>
      <w:keepNext/>
      <w:keepLines/>
      <w:spacing w:line="520" w:lineRule="exact"/>
      <w:outlineLvl w:val="0"/>
    </w:pPr>
    <w:rPr>
      <w:b/>
      <w:bCs/>
      <w:kern w:val="44"/>
      <w:szCs w:val="44"/>
    </w:rPr>
  </w:style>
  <w:style w:type="paragraph" w:styleId="3">
    <w:name w:val="heading 2"/>
    <w:basedOn w:val="1"/>
    <w:next w:val="1"/>
    <w:link w:val="40"/>
    <w:qFormat/>
    <w:uiPriority w:val="0"/>
    <w:pPr>
      <w:keepNext/>
      <w:keepLines/>
      <w:spacing w:before="260" w:after="260" w:line="416" w:lineRule="auto"/>
      <w:outlineLvl w:val="1"/>
    </w:pPr>
    <w:rPr>
      <w:rFonts w:ascii="Arial" w:hAnsi="Arial" w:eastAsia="黑体"/>
      <w:b/>
      <w:bCs/>
      <w:szCs w:val="32"/>
    </w:rPr>
  </w:style>
  <w:style w:type="paragraph" w:styleId="4">
    <w:name w:val="heading 3"/>
    <w:basedOn w:val="1"/>
    <w:next w:val="1"/>
    <w:link w:val="41"/>
    <w:qFormat/>
    <w:uiPriority w:val="9"/>
    <w:pPr>
      <w:keepNext/>
      <w:keepLines/>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Cs w:val="28"/>
    </w:rPr>
  </w:style>
  <w:style w:type="paragraph" w:styleId="6">
    <w:name w:val="heading 5"/>
    <w:basedOn w:val="1"/>
    <w:next w:val="1"/>
    <w:qFormat/>
    <w:uiPriority w:val="0"/>
    <w:pPr>
      <w:keepNext/>
      <w:keepLines/>
      <w:spacing w:before="280" w:after="290" w:line="376" w:lineRule="auto"/>
      <w:outlineLvl w:val="4"/>
    </w:pPr>
    <w:rPr>
      <w:b/>
      <w:bCs/>
      <w:szCs w:val="28"/>
    </w:rPr>
  </w:style>
  <w:style w:type="paragraph" w:styleId="7">
    <w:name w:val="heading 6"/>
    <w:basedOn w:val="1"/>
    <w:next w:val="1"/>
    <w:qFormat/>
    <w:uiPriority w:val="0"/>
    <w:pPr>
      <w:keepNext/>
      <w:keepLines/>
      <w:spacing w:before="240" w:after="64" w:line="320" w:lineRule="auto"/>
      <w:outlineLvl w:val="5"/>
    </w:pPr>
    <w:rPr>
      <w:rFonts w:ascii="Arial" w:hAnsi="Arial" w:eastAsia="黑体"/>
      <w:b/>
      <w:bCs/>
      <w:sz w:val="24"/>
    </w:rPr>
  </w:style>
  <w:style w:type="character" w:default="1" w:styleId="23">
    <w:name w:val="Default Paragraph Font"/>
    <w:semiHidden/>
    <w:unhideWhenUsed/>
    <w:qFormat/>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8">
    <w:name w:val="caption"/>
    <w:basedOn w:val="1"/>
    <w:next w:val="1"/>
    <w:qFormat/>
    <w:uiPriority w:val="0"/>
    <w:rPr>
      <w:rFonts w:ascii="Arial" w:hAnsi="Arial" w:eastAsia="黑体"/>
      <w:sz w:val="20"/>
      <w:szCs w:val="20"/>
    </w:rPr>
  </w:style>
  <w:style w:type="paragraph" w:styleId="9">
    <w:name w:val="annotation text"/>
    <w:basedOn w:val="1"/>
    <w:link w:val="42"/>
    <w:semiHidden/>
    <w:unhideWhenUsed/>
    <w:qFormat/>
    <w:uiPriority w:val="0"/>
    <w:pPr>
      <w:jc w:val="left"/>
    </w:pPr>
  </w:style>
  <w:style w:type="paragraph" w:styleId="10">
    <w:name w:val="toc 5"/>
    <w:basedOn w:val="1"/>
    <w:next w:val="1"/>
    <w:semiHidden/>
    <w:qFormat/>
    <w:uiPriority w:val="0"/>
    <w:pPr>
      <w:tabs>
        <w:tab w:val="right" w:leader="dot" w:pos="9174"/>
      </w:tabs>
      <w:spacing w:line="520" w:lineRule="exact"/>
      <w:ind w:left="1079" w:leftChars="514"/>
    </w:pPr>
  </w:style>
  <w:style w:type="paragraph" w:styleId="11">
    <w:name w:val="toc 3"/>
    <w:basedOn w:val="1"/>
    <w:next w:val="1"/>
    <w:qFormat/>
    <w:uiPriority w:val="39"/>
    <w:pPr>
      <w:tabs>
        <w:tab w:val="right" w:leader="dot" w:pos="9174"/>
      </w:tabs>
      <w:spacing w:line="520" w:lineRule="exact"/>
      <w:ind w:left="540" w:leftChars="257"/>
    </w:pPr>
  </w:style>
  <w:style w:type="paragraph" w:styleId="12">
    <w:name w:val="Balloon Text"/>
    <w:basedOn w:val="1"/>
    <w:link w:val="35"/>
    <w:qFormat/>
    <w:uiPriority w:val="99"/>
    <w:rPr>
      <w:sz w:val="18"/>
      <w:szCs w:val="18"/>
    </w:rPr>
  </w:style>
  <w:style w:type="paragraph" w:styleId="13">
    <w:name w:val="footer"/>
    <w:basedOn w:val="1"/>
    <w:link w:val="39"/>
    <w:qFormat/>
    <w:uiPriority w:val="0"/>
    <w:pPr>
      <w:tabs>
        <w:tab w:val="center" w:pos="4153"/>
        <w:tab w:val="right" w:pos="8306"/>
      </w:tabs>
      <w:snapToGrid w:val="0"/>
      <w:jc w:val="left"/>
    </w:pPr>
    <w:rPr>
      <w:sz w:val="18"/>
      <w:szCs w:val="18"/>
    </w:rPr>
  </w:style>
  <w:style w:type="paragraph" w:styleId="14">
    <w:name w:val="header"/>
    <w:basedOn w:val="1"/>
    <w:link w:val="38"/>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toc 4"/>
    <w:basedOn w:val="1"/>
    <w:next w:val="1"/>
    <w:qFormat/>
    <w:uiPriority w:val="39"/>
    <w:pPr>
      <w:tabs>
        <w:tab w:val="right" w:leader="dot" w:pos="9174"/>
      </w:tabs>
      <w:spacing w:line="520" w:lineRule="exact"/>
      <w:ind w:left="899" w:leftChars="428"/>
    </w:pPr>
  </w:style>
  <w:style w:type="paragraph" w:styleId="17">
    <w:name w:val="toc 6"/>
    <w:basedOn w:val="1"/>
    <w:next w:val="1"/>
    <w:semiHidden/>
    <w:qFormat/>
    <w:uiPriority w:val="0"/>
    <w:pPr>
      <w:tabs>
        <w:tab w:val="right" w:leader="dot" w:pos="9174"/>
      </w:tabs>
      <w:spacing w:line="520" w:lineRule="exact"/>
      <w:ind w:left="1438" w:leftChars="685"/>
    </w:pPr>
  </w:style>
  <w:style w:type="paragraph" w:styleId="18">
    <w:name w:val="toc 2"/>
    <w:basedOn w:val="1"/>
    <w:next w:val="1"/>
    <w:qFormat/>
    <w:uiPriority w:val="39"/>
    <w:pPr>
      <w:tabs>
        <w:tab w:val="right" w:leader="dot" w:pos="9174"/>
      </w:tabs>
      <w:spacing w:line="520" w:lineRule="exact"/>
    </w:pPr>
  </w:style>
  <w:style w:type="paragraph" w:styleId="19">
    <w:name w:val="Normal (Web)"/>
    <w:basedOn w:val="1"/>
    <w:qFormat/>
    <w:uiPriority w:val="99"/>
    <w:pPr>
      <w:spacing w:beforeAutospacing="1" w:afterAutospacing="1"/>
      <w:jc w:val="left"/>
    </w:pPr>
    <w:rPr>
      <w:kern w:val="0"/>
      <w:sz w:val="24"/>
      <w:szCs w:val="20"/>
    </w:rPr>
  </w:style>
  <w:style w:type="paragraph" w:styleId="20">
    <w:name w:val="annotation subject"/>
    <w:basedOn w:val="9"/>
    <w:next w:val="9"/>
    <w:link w:val="43"/>
    <w:semiHidden/>
    <w:unhideWhenUsed/>
    <w:qFormat/>
    <w:uiPriority w:val="0"/>
    <w:rPr>
      <w:b/>
      <w:bCs/>
    </w:r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page number"/>
    <w:basedOn w:val="23"/>
    <w:qFormat/>
    <w:uiPriority w:val="99"/>
  </w:style>
  <w:style w:type="character" w:styleId="26">
    <w:name w:val="Hyperlink"/>
    <w:qFormat/>
    <w:uiPriority w:val="99"/>
    <w:rPr>
      <w:color w:val="0000FF"/>
      <w:u w:val="single"/>
    </w:rPr>
  </w:style>
  <w:style w:type="character" w:styleId="27">
    <w:name w:val="annotation reference"/>
    <w:basedOn w:val="23"/>
    <w:semiHidden/>
    <w:unhideWhenUsed/>
    <w:qFormat/>
    <w:uiPriority w:val="0"/>
    <w:rPr>
      <w:sz w:val="21"/>
      <w:szCs w:val="21"/>
    </w:rPr>
  </w:style>
  <w:style w:type="paragraph" w:customStyle="1" w:styleId="28">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hint="eastAsia" w:ascii="楷体_GB2312" w:hAnsi="宋体" w:eastAsia="楷体_GB2312"/>
      <w:kern w:val="0"/>
      <w:szCs w:val="21"/>
    </w:rPr>
  </w:style>
  <w:style w:type="paragraph" w:customStyle="1" w:styleId="29">
    <w:name w:val="xl39"/>
    <w:basedOn w:val="1"/>
    <w:qFormat/>
    <w:uiPriority w:val="0"/>
    <w:pPr>
      <w:widowControl/>
      <w:pBdr>
        <w:bottom w:val="single" w:color="auto" w:sz="4" w:space="0"/>
        <w:right w:val="single" w:color="auto" w:sz="4" w:space="0"/>
      </w:pBdr>
      <w:spacing w:before="100" w:beforeAutospacing="1" w:after="100" w:afterAutospacing="1"/>
      <w:jc w:val="center"/>
    </w:pPr>
    <w:rPr>
      <w:kern w:val="0"/>
      <w:szCs w:val="21"/>
    </w:rPr>
  </w:style>
  <w:style w:type="character" w:customStyle="1" w:styleId="30">
    <w:name w:val="px121"/>
    <w:qFormat/>
    <w:uiPriority w:val="0"/>
    <w:rPr>
      <w:sz w:val="18"/>
      <w:szCs w:val="18"/>
      <w:u w:val="none"/>
    </w:rPr>
  </w:style>
  <w:style w:type="character" w:customStyle="1" w:styleId="31">
    <w:name w:val="style32"/>
    <w:basedOn w:val="23"/>
    <w:qFormat/>
    <w:uiPriority w:val="0"/>
  </w:style>
  <w:style w:type="paragraph" w:customStyle="1" w:styleId="32">
    <w:name w:val="样式1"/>
    <w:basedOn w:val="5"/>
    <w:qFormat/>
    <w:uiPriority w:val="0"/>
    <w:pPr>
      <w:spacing w:line="480" w:lineRule="exact"/>
      <w:ind w:right="105" w:rightChars="50" w:firstLine="562"/>
    </w:pPr>
    <w:rPr>
      <w:rFonts w:ascii="宋体" w:hAnsi="宋体" w:cs="Courier New"/>
      <w:b w:val="0"/>
      <w:color w:val="000000"/>
    </w:rPr>
  </w:style>
  <w:style w:type="paragraph" w:customStyle="1" w:styleId="33">
    <w:name w:val="样式2"/>
    <w:basedOn w:val="6"/>
    <w:qFormat/>
    <w:uiPriority w:val="0"/>
    <w:pPr>
      <w:spacing w:line="480" w:lineRule="exact"/>
      <w:ind w:right="105" w:rightChars="50" w:firstLine="562"/>
    </w:pPr>
    <w:rPr>
      <w:rFonts w:ascii="宋体" w:hAnsi="宋体" w:cs="Courier New"/>
      <w:b w:val="0"/>
      <w:color w:val="000000"/>
    </w:rPr>
  </w:style>
  <w:style w:type="paragraph" w:customStyle="1" w:styleId="34">
    <w:name w:val="样式3"/>
    <w:basedOn w:val="7"/>
    <w:qFormat/>
    <w:uiPriority w:val="0"/>
    <w:pPr>
      <w:spacing w:before="0" w:after="0" w:line="240" w:lineRule="auto"/>
      <w:ind w:firstLine="562"/>
    </w:pPr>
  </w:style>
  <w:style w:type="character" w:customStyle="1" w:styleId="35">
    <w:name w:val="批注框文本 字符"/>
    <w:link w:val="12"/>
    <w:qFormat/>
    <w:uiPriority w:val="99"/>
    <w:rPr>
      <w:kern w:val="2"/>
      <w:sz w:val="18"/>
      <w:szCs w:val="18"/>
    </w:rPr>
  </w:style>
  <w:style w:type="paragraph" w:styleId="36">
    <w:name w:val="List Paragraph"/>
    <w:basedOn w:val="1"/>
    <w:qFormat/>
    <w:uiPriority w:val="34"/>
    <w:pPr>
      <w:ind w:firstLine="420"/>
    </w:pPr>
    <w:rPr>
      <w:szCs w:val="20"/>
    </w:rPr>
  </w:style>
  <w:style w:type="character" w:customStyle="1" w:styleId="37">
    <w:name w:val="标题 1 字符"/>
    <w:basedOn w:val="23"/>
    <w:qFormat/>
    <w:uiPriority w:val="9"/>
    <w:rPr>
      <w:rFonts w:eastAsia="宋体"/>
      <w:b/>
      <w:bCs/>
      <w:kern w:val="44"/>
      <w:sz w:val="28"/>
      <w:szCs w:val="44"/>
    </w:rPr>
  </w:style>
  <w:style w:type="character" w:customStyle="1" w:styleId="38">
    <w:name w:val="页眉 字符"/>
    <w:basedOn w:val="23"/>
    <w:link w:val="14"/>
    <w:qFormat/>
    <w:uiPriority w:val="0"/>
    <w:rPr>
      <w:kern w:val="2"/>
      <w:sz w:val="18"/>
      <w:szCs w:val="18"/>
    </w:rPr>
  </w:style>
  <w:style w:type="character" w:customStyle="1" w:styleId="39">
    <w:name w:val="页脚 字符"/>
    <w:basedOn w:val="23"/>
    <w:link w:val="13"/>
    <w:qFormat/>
    <w:uiPriority w:val="0"/>
    <w:rPr>
      <w:kern w:val="2"/>
      <w:sz w:val="18"/>
      <w:szCs w:val="18"/>
    </w:rPr>
  </w:style>
  <w:style w:type="character" w:customStyle="1" w:styleId="40">
    <w:name w:val="标题 2 字符"/>
    <w:basedOn w:val="23"/>
    <w:link w:val="3"/>
    <w:qFormat/>
    <w:uiPriority w:val="0"/>
    <w:rPr>
      <w:rFonts w:ascii="Arial" w:hAnsi="Arial" w:eastAsia="黑体"/>
      <w:b/>
      <w:bCs/>
      <w:kern w:val="2"/>
      <w:sz w:val="28"/>
      <w:szCs w:val="32"/>
    </w:rPr>
  </w:style>
  <w:style w:type="character" w:customStyle="1" w:styleId="41">
    <w:name w:val="标题 3 字符"/>
    <w:basedOn w:val="23"/>
    <w:link w:val="4"/>
    <w:qFormat/>
    <w:uiPriority w:val="9"/>
    <w:rPr>
      <w:rFonts w:eastAsia="宋体"/>
      <w:b/>
      <w:bCs/>
      <w:kern w:val="2"/>
      <w:sz w:val="32"/>
      <w:szCs w:val="32"/>
    </w:rPr>
  </w:style>
  <w:style w:type="character" w:customStyle="1" w:styleId="42">
    <w:name w:val="批注文字 字符"/>
    <w:basedOn w:val="23"/>
    <w:link w:val="9"/>
    <w:semiHidden/>
    <w:qFormat/>
    <w:uiPriority w:val="0"/>
    <w:rPr>
      <w:kern w:val="2"/>
      <w:sz w:val="21"/>
      <w:szCs w:val="24"/>
    </w:rPr>
  </w:style>
  <w:style w:type="character" w:customStyle="1" w:styleId="43">
    <w:name w:val="批注主题 字符"/>
    <w:basedOn w:val="42"/>
    <w:link w:val="20"/>
    <w:semiHidden/>
    <w:qFormat/>
    <w:uiPriority w:val="0"/>
    <w:rPr>
      <w:b/>
      <w:bCs/>
      <w:kern w:val="2"/>
      <w:sz w:val="21"/>
      <w:szCs w:val="24"/>
    </w:rPr>
  </w:style>
  <w:style w:type="paragraph" w:customStyle="1" w:styleId="44">
    <w:name w:val="表标题"/>
    <w:basedOn w:val="1"/>
    <w:qFormat/>
    <w:uiPriority w:val="0"/>
    <w:pPr>
      <w:spacing w:line="0" w:lineRule="atLeast"/>
      <w:jc w:val="center"/>
    </w:pPr>
    <w:rPr>
      <w:rFonts w:ascii="宋体" w:hAnsi="宋体" w:cs="华文仿宋"/>
      <w:b/>
      <w:bCs/>
      <w:color w:val="000000"/>
      <w:szCs w:val="21"/>
    </w:rPr>
  </w:style>
  <w:style w:type="paragraph" w:customStyle="1" w:styleId="45">
    <w:name w:val="表体1"/>
    <w:basedOn w:val="1"/>
    <w:qFormat/>
    <w:uiPriority w:val="0"/>
    <w:pPr>
      <w:spacing w:line="0" w:lineRule="atLeast"/>
      <w:jc w:val="center"/>
    </w:pPr>
    <w:rPr>
      <w:rFonts w:ascii="宋体" w:hAnsi="宋体" w:cs="华文仿宋"/>
      <w:b/>
      <w:bCs/>
      <w:szCs w:val="21"/>
    </w:rPr>
  </w:style>
  <w:style w:type="paragraph" w:customStyle="1" w:styleId="46">
    <w:name w:val="图名"/>
    <w:basedOn w:val="1"/>
    <w:qFormat/>
    <w:uiPriority w:val="0"/>
    <w:pPr>
      <w:jc w:val="center"/>
    </w:pPr>
    <w:rPr>
      <w:b/>
    </w:rPr>
  </w:style>
  <w:style w:type="table" w:customStyle="1" w:styleId="47">
    <w:name w:val="网格表 4 - 着色 61"/>
    <w:basedOn w:val="21"/>
    <w:qFormat/>
    <w:uiPriority w:val="49"/>
    <w:tblP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Pr>
    <w:tblStylePr w:type="firstRow">
      <w:rPr>
        <w:rFonts w:eastAsiaTheme="minorEastAsia"/>
        <w:b/>
        <w:bCs/>
        <w:color w:val="FFFFFF" w:themeColor="background1"/>
        <w:sz w:val="21"/>
      </w:rPr>
      <w:tcPr>
        <w:tcBorders>
          <w:top w:val="single" w:color="F79646" w:themeColor="accent6" w:sz="4" w:space="0"/>
          <w:left w:val="single" w:color="F79646" w:themeColor="accent6" w:sz="4" w:space="0"/>
          <w:bottom w:val="single" w:color="F79646" w:themeColor="accent6" w:sz="4" w:space="0"/>
          <w:right w:val="single" w:color="F79646" w:themeColor="accent6" w:sz="4" w:space="0"/>
          <w:insideH w:val="nil"/>
          <w:insideV w:val="nil"/>
        </w:tcBorders>
        <w:shd w:val="clear" w:color="auto" w:fill="F79646" w:themeFill="accent6"/>
      </w:tcPr>
    </w:tblStylePr>
    <w:tblStylePr w:type="lastRow">
      <w:rPr>
        <w:b/>
        <w:bCs/>
      </w:rPr>
      <w:tcPr>
        <w:tcBorders>
          <w:top w:val="double" w:color="F79646" w:themeColor="accent6" w:sz="4" w:space="0"/>
        </w:tcBorders>
      </w:tcPr>
    </w:tblStylePr>
    <w:tblStylePr w:type="firstCol">
      <w:rPr>
        <w:b/>
        <w:bCs/>
      </w:rPr>
    </w:tblStylePr>
    <w:tblStylePr w:type="lastCol">
      <w:rPr>
        <w:b/>
        <w:bCs/>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paragraph" w:customStyle="1" w:styleId="48">
    <w:name w:val="_Style 45"/>
    <w:basedOn w:val="1"/>
    <w:next w:val="36"/>
    <w:qFormat/>
    <w:uiPriority w:val="34"/>
    <w:pPr>
      <w:ind w:firstLine="420"/>
    </w:pPr>
    <w:rPr>
      <w:rFonts w:eastAsia="仿宋_GB2312"/>
      <w:sz w:val="32"/>
      <w:szCs w:val="22"/>
    </w:rPr>
  </w:style>
  <w:style w:type="character" w:customStyle="1" w:styleId="49">
    <w:name w:val="NormalCharacter"/>
    <w:semiHidden/>
    <w:qFormat/>
    <w:uiPriority w:val="0"/>
  </w:style>
  <w:style w:type="paragraph" w:customStyle="1" w:styleId="50">
    <w:name w:val="列表段落1"/>
    <w:basedOn w:val="1"/>
    <w:qFormat/>
    <w:uiPriority w:val="0"/>
    <w:pPr>
      <w:ind w:firstLine="420"/>
    </w:pPr>
    <w:rPr>
      <w:rFonts w:ascii="Calibri" w:hAnsi="Calibri"/>
    </w:rPr>
  </w:style>
  <w:style w:type="paragraph" w:customStyle="1" w:styleId="51">
    <w:name w:val="reader-word-layer reader-word-s2-1"/>
    <w:basedOn w:val="1"/>
    <w:qFormat/>
    <w:uiPriority w:val="0"/>
    <w:pPr>
      <w:widowControl/>
      <w:spacing w:before="100" w:beforeAutospacing="1" w:after="100" w:afterAutospacing="1"/>
      <w:jc w:val="left"/>
    </w:pPr>
    <w:rPr>
      <w:rFonts w:ascii="宋体" w:hAnsi="宋体" w:cs="宋体"/>
      <w:kern w:val="0"/>
      <w:sz w:val="24"/>
    </w:rPr>
  </w:style>
  <w:style w:type="paragraph" w:customStyle="1" w:styleId="52">
    <w:name w:val="reader-word-layer reader-word-s1-13"/>
    <w:basedOn w:val="1"/>
    <w:qFormat/>
    <w:uiPriority w:val="0"/>
    <w:pPr>
      <w:widowControl/>
      <w:spacing w:before="100" w:beforeAutospacing="1" w:after="100" w:afterAutospacing="1"/>
      <w:jc w:val="left"/>
    </w:pPr>
    <w:rPr>
      <w:rFonts w:ascii="宋体" w:hAnsi="宋体" w:cs="宋体"/>
      <w:kern w:val="0"/>
      <w:sz w:val="24"/>
    </w:rPr>
  </w:style>
  <w:style w:type="paragraph" w:customStyle="1" w:styleId="53">
    <w:name w:val="WPSOffice手动目录 1"/>
    <w:qFormat/>
    <w:uiPriority w:val="0"/>
    <w:rPr>
      <w:rFonts w:ascii="Times New Roman" w:hAnsi="Times New Roman" w:eastAsia="宋体" w:cs="Times New Roman"/>
      <w:lang w:val="en-US" w:eastAsia="zh-CN" w:bidi="ar-SA"/>
    </w:rPr>
  </w:style>
  <w:style w:type="paragraph" w:customStyle="1" w:styleId="5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5">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56">
    <w:name w:val="标题3"/>
    <w:basedOn w:val="4"/>
    <w:qFormat/>
    <w:uiPriority w:val="0"/>
    <w:pPr>
      <w:overflowPunct w:val="0"/>
      <w:adjustRightInd w:val="0"/>
      <w:spacing w:before="156" w:beforeLines="50" w:after="156" w:afterLines="50"/>
      <w:jc w:val="left"/>
      <w:outlineLvl w:val="1"/>
    </w:pPr>
    <w:rPr>
      <w:rFonts w:ascii="宋体" w:hAnsi="宋体" w:cs="宋体"/>
      <w:b w:val="0"/>
      <w:bCs w:val="0"/>
      <w:color w:val="000000"/>
      <w:sz w:val="24"/>
      <w:szCs w:val="24"/>
    </w:rPr>
  </w:style>
  <w:style w:type="character" w:customStyle="1" w:styleId="57">
    <w:name w:val="标题 1 字符1"/>
    <w:link w:val="2"/>
    <w:qFormat/>
    <w:uiPriority w:val="9"/>
    <w:rPr>
      <w:rFonts w:eastAsia="仿宋"/>
      <w:b/>
      <w:bCs/>
      <w:kern w:val="44"/>
      <w:sz w:val="30"/>
      <w:szCs w:val="44"/>
    </w:rPr>
  </w:style>
  <w:style w:type="character" w:customStyle="1" w:styleId="58">
    <w:name w:val="font112"/>
    <w:basedOn w:val="23"/>
    <w:qFormat/>
    <w:uiPriority w:val="0"/>
    <w:rPr>
      <w:rFonts w:hint="eastAsia" w:ascii="宋体" w:hAnsi="宋体" w:eastAsia="宋体" w:cs="宋体"/>
      <w:b/>
      <w:bCs/>
      <w:color w:val="000000"/>
      <w:sz w:val="20"/>
      <w:szCs w:val="20"/>
      <w:u w:val="none"/>
    </w:rPr>
  </w:style>
  <w:style w:type="character" w:customStyle="1" w:styleId="59">
    <w:name w:val="font121"/>
    <w:basedOn w:val="23"/>
    <w:qFormat/>
    <w:uiPriority w:val="0"/>
    <w:rPr>
      <w:rFonts w:hint="eastAsia" w:ascii="宋体" w:hAnsi="宋体" w:eastAsia="宋体" w:cs="宋体"/>
      <w:color w:val="000000"/>
      <w:sz w:val="20"/>
      <w:szCs w:val="20"/>
      <w:u w:val="none"/>
    </w:rPr>
  </w:style>
  <w:style w:type="character" w:customStyle="1" w:styleId="60">
    <w:name w:val="font111"/>
    <w:basedOn w:val="23"/>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B8D79-993C-4958-8613-002456642BE5}">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16</Pages>
  <Words>7470</Words>
  <Characters>7541</Characters>
  <Lines>53</Lines>
  <Paragraphs>15</Paragraphs>
  <TotalTime>25</TotalTime>
  <ScaleCrop>false</ScaleCrop>
  <LinksUpToDate>false</LinksUpToDate>
  <CharactersWithSpaces>7564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2021-10-18T07:14:00Z</dcterms:created>
  <dc:creator>Wang</dc:creator>
  <cp:lastModifiedBy>阿东东</cp:lastModifiedBy>
  <cp:lastPrinted>2021-10-23T13:07:00Z</cp:lastPrinted>
  <dcterms:modified xsi:type="dcterms:W3CDTF">2025-09-09T06:30:16Z</dcterms:modified>
  <dc:title>申办机械制造与自动化（机械加工技术方向）专业</dc:title>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119BFE3A9DAE4EC39C97D7FBBF50C165</vt:lpwstr>
  </property>
  <property fmtid="{D5CDD505-2E9C-101B-9397-08002B2CF9AE}" pid="4" name="KSOTemplateDocerSaveRecord">
    <vt:lpwstr>eyJoZGlkIjoiMWZjZDQwNDIyOGYyNWE5NDIxZDQ1OTE5NDA3ZWY3ODgiLCJ1c2VySWQiOiI0MzUyNDY3MzMifQ==</vt:lpwstr>
  </property>
</Properties>
</file>