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10.xml" ContentType="application/vnd.openxmlformats-officedocument.themeOverride+xml"/>
  <Override PartName="/word/theme/themeOverride1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theme/themeOverride8.xml" ContentType="application/vnd.openxmlformats-officedocument.themeOverride+xml"/>
  <Override PartName="/word/theme/themeOverride9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7480A">
      <w:pPr>
        <w:rPr>
          <w:rFonts w:ascii="微软雅黑" w:hAnsi="微软雅黑" w:eastAsia="微软雅黑" w:cs="微软雅黑"/>
        </w:rPr>
      </w:pPr>
      <w:bookmarkStart w:id="29" w:name="_GoBack"/>
      <w:r>
        <w:rPr>
          <w:rFonts w:ascii="微软雅黑" w:hAnsi="微软雅黑" w:eastAsia="微软雅黑" w:cs="微软雅黑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-38100</wp:posOffset>
            </wp:positionH>
            <wp:positionV relativeFrom="paragraph">
              <wp:posOffset>-900430</wp:posOffset>
            </wp:positionV>
            <wp:extent cx="7583170" cy="107264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88" cy="1072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9"/>
    </w:p>
    <w:p w14:paraId="473840DC"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489585</wp:posOffset>
            </wp:positionV>
            <wp:extent cx="3248025" cy="728980"/>
            <wp:effectExtent l="0" t="0" r="0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72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EA0DAF">
      <w:pPr>
        <w:tabs>
          <w:tab w:val="left" w:pos="5388"/>
        </w:tabs>
        <w:jc w:val="left"/>
        <w:rPr>
          <w:rFonts w:ascii="微软雅黑" w:hAnsi="微软雅黑" w:eastAsia="微软雅黑" w:cs="微软雅黑"/>
          <w:b/>
          <w:color w:val="3333CC"/>
          <w:sz w:val="52"/>
          <w:szCs w:val="52"/>
        </w:rPr>
      </w:pPr>
    </w:p>
    <w:p w14:paraId="07C945A5">
      <w:pPr>
        <w:rPr>
          <w:rFonts w:ascii="微软雅黑" w:hAnsi="微软雅黑" w:eastAsia="微软雅黑" w:cs="微软雅黑"/>
        </w:rPr>
      </w:pPr>
    </w:p>
    <w:p w14:paraId="71E16FDF">
      <w:pPr>
        <w:rPr>
          <w:rFonts w:ascii="微软雅黑" w:hAnsi="微软雅黑" w:eastAsia="微软雅黑" w:cs="微软雅黑"/>
        </w:rPr>
      </w:pPr>
    </w:p>
    <w:p w14:paraId="012A9004">
      <w:pPr>
        <w:rPr>
          <w:rFonts w:ascii="微软雅黑" w:hAnsi="微软雅黑" w:eastAsia="微软雅黑" w:cs="微软雅黑"/>
        </w:rPr>
      </w:pPr>
    </w:p>
    <w:p w14:paraId="2B7602E6">
      <w:pPr>
        <w:rPr>
          <w:rFonts w:ascii="微软雅黑" w:hAnsi="微软雅黑" w:eastAsia="微软雅黑" w:cs="微软雅黑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311785</wp:posOffset>
                </wp:positionV>
                <wp:extent cx="7579360" cy="150622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360" cy="150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EE8BB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  <w:t>202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F4E79" w:themeColor="accent1" w:themeShade="80"/>
                                <w:sz w:val="72"/>
                                <w:szCs w:val="72"/>
                              </w:rPr>
                              <w:t>年大专毕业生就业质量报告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24.55pt;height:118.6pt;width:596.8pt;mso-position-horizontal:lef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Oa5+2QAAAAgBAAAPAAAAAAAAAAEAIAAAACIAAABk&#10;cnMvZG93bnJldi54bWxQSwECFAAUAAAACACHTuJA5cxL9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2EE8BB">
                      <w:pPr>
                        <w:jc w:val="center"/>
                        <w:rPr>
                          <w:rFonts w:ascii="微软雅黑" w:hAnsi="微软雅黑" w:eastAsia="微软雅黑" w:cs="微软雅黑"/>
                          <w:b/>
                          <w:bCs/>
                          <w:color w:val="1F4E79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  <w:t>202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F4E79" w:themeColor="accent1" w:themeShade="80"/>
                          <w:sz w:val="72"/>
                          <w:szCs w:val="72"/>
                        </w:rPr>
                        <w:t>年大专毕业生就业质量报告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15BE06">
      <w:pPr>
        <w:rPr>
          <w:rFonts w:ascii="微软雅黑" w:hAnsi="微软雅黑" w:eastAsia="微软雅黑" w:cs="微软雅黑"/>
        </w:rPr>
      </w:pPr>
    </w:p>
    <w:p w14:paraId="3D4E0165">
      <w:pPr>
        <w:rPr>
          <w:rFonts w:ascii="微软雅黑" w:hAnsi="微软雅黑" w:eastAsia="微软雅黑" w:cs="微软雅黑"/>
        </w:rPr>
      </w:pPr>
    </w:p>
    <w:p w14:paraId="7BA6C8DB">
      <w:pPr>
        <w:rPr>
          <w:rFonts w:ascii="微软雅黑" w:hAnsi="微软雅黑" w:eastAsia="微软雅黑" w:cs="微软雅黑"/>
        </w:rPr>
      </w:pPr>
    </w:p>
    <w:p w14:paraId="5DB006B5">
      <w:pPr>
        <w:rPr>
          <w:rFonts w:ascii="微软雅黑" w:hAnsi="微软雅黑" w:eastAsia="微软雅黑" w:cs="微软雅黑"/>
        </w:rPr>
      </w:pPr>
    </w:p>
    <w:p w14:paraId="77AE531B">
      <w:pPr>
        <w:rPr>
          <w:rFonts w:ascii="微软雅黑" w:hAnsi="微软雅黑" w:eastAsia="微软雅黑" w:cs="微软雅黑"/>
        </w:rPr>
      </w:pPr>
    </w:p>
    <w:p w14:paraId="0842ED19">
      <w:pPr>
        <w:tabs>
          <w:tab w:val="left" w:pos="5370"/>
        </w:tabs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ab/>
      </w:r>
    </w:p>
    <w:p w14:paraId="11A1975F">
      <w:pPr>
        <w:tabs>
          <w:tab w:val="left" w:pos="5370"/>
        </w:tabs>
        <w:rPr>
          <w:rFonts w:ascii="微软雅黑" w:hAnsi="微软雅黑" w:eastAsia="微软雅黑" w:cs="微软雅黑"/>
        </w:rPr>
      </w:pPr>
    </w:p>
    <w:p w14:paraId="0A9FBE78">
      <w:pPr>
        <w:rPr>
          <w:rFonts w:ascii="宋体" w:hAnsi="宋体" w:eastAsia="宋体" w:cs="宋体"/>
          <w:b/>
          <w:bCs/>
          <w:sz w:val="44"/>
          <w:szCs w:val="44"/>
        </w:rPr>
      </w:pPr>
    </w:p>
    <w:p w14:paraId="0244B2C6">
      <w:pPr>
        <w:spacing w:line="360" w:lineRule="auto"/>
        <w:jc w:val="left"/>
      </w:pPr>
      <w:bookmarkStart w:id="0" w:name="_Toc187326250"/>
      <w:bookmarkStart w:id="1" w:name="_Toc187325997"/>
      <w:r>
        <w:rPr>
          <w:rFonts w:ascii="宋体" w:hAnsi="宋体" w:eastAsia="宋体" w:cs="宋体"/>
          <w:b/>
          <w:bCs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20955</wp:posOffset>
            </wp:positionH>
            <wp:positionV relativeFrom="margin">
              <wp:posOffset>84455</wp:posOffset>
            </wp:positionV>
            <wp:extent cx="5343525" cy="628015"/>
            <wp:effectExtent l="0" t="0" r="9525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2078355</wp:posOffset>
                </wp:positionH>
                <wp:positionV relativeFrom="paragraph">
                  <wp:posOffset>36195</wp:posOffset>
                </wp:positionV>
                <wp:extent cx="1057275" cy="628015"/>
                <wp:effectExtent l="0" t="0" r="0" b="63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BCECEF">
                            <w:pPr>
                              <w:ind w:left="522" w:hanging="522" w:hangingChars="100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目 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3.65pt;margin-top:2.85pt;height:49.45pt;width:83.25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X0x&#10;JtcAAAAJAQAADwAAAAAAAAABACAAAAAiAAAAZHJzL2Rvd25yZXYueG1sUEsBAhQAFAAAAAgAh07i&#10;QJZR3EM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3BCECEF">
                      <w:pPr>
                        <w:ind w:left="522" w:hanging="522" w:hangingChars="100"/>
                        <w:rPr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目 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bookmarkEnd w:id="1"/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TOC \o "1-1" \h \u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</w:p>
    <w:p w14:paraId="1C62107B">
      <w:pPr>
        <w:pStyle w:val="7"/>
        <w:tabs>
          <w:tab w:val="right" w:leader="dot" w:pos="8312"/>
          <w:tab w:val="clear" w:pos="8302"/>
        </w:tabs>
        <w:spacing w:line="240" w:lineRule="auto"/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_Toc29785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黑体" w:hAnsi="黑体" w:eastAsia="黑体" w:cs="宋体"/>
          <w:bCs/>
          <w:szCs w:val="32"/>
        </w:rPr>
        <w:t>1</w:t>
      </w:r>
      <w:r>
        <w:rPr>
          <w:rFonts w:ascii="黑体" w:hAnsi="黑体" w:eastAsia="黑体" w:cs="宋体"/>
          <w:bCs/>
          <w:szCs w:val="32"/>
        </w:rPr>
        <w:t xml:space="preserve"> </w:t>
      </w:r>
      <w:r>
        <w:rPr>
          <w:rFonts w:hint="eastAsia" w:ascii="黑体" w:hAnsi="黑体" w:eastAsia="黑体" w:cs="宋体"/>
          <w:bCs/>
          <w:szCs w:val="32"/>
        </w:rPr>
        <w:t>毕业生基本情况</w:t>
      </w:r>
      <w:r>
        <w:tab/>
      </w:r>
      <w:r>
        <w:fldChar w:fldCharType="begin"/>
      </w:r>
      <w:r>
        <w:instrText xml:space="preserve"> PAGEREF _Toc29785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3F83DE1E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_Toc27830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楷体" w:hAnsi="楷体" w:eastAsia="楷体" w:cs="宋体"/>
          <w:bCs/>
          <w:szCs w:val="32"/>
        </w:rPr>
        <w:t>1</w:t>
      </w:r>
      <w:r>
        <w:rPr>
          <w:rFonts w:ascii="楷体" w:hAnsi="楷体" w:eastAsia="楷体" w:cs="宋体"/>
          <w:bCs/>
          <w:szCs w:val="32"/>
        </w:rPr>
        <w:t>.1</w:t>
      </w:r>
      <w:r>
        <w:rPr>
          <w:rFonts w:hint="eastAsia" w:ascii="楷体" w:hAnsi="楷体" w:eastAsia="楷体" w:cs="宋体"/>
          <w:bCs/>
          <w:szCs w:val="32"/>
        </w:rPr>
        <w:t>毕业生的规模和结构</w:t>
      </w:r>
      <w:r>
        <w:tab/>
      </w:r>
      <w:r>
        <w:fldChar w:fldCharType="begin"/>
      </w:r>
      <w:r>
        <w:instrText xml:space="preserve"> PAGEREF _Toc27830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550C6DE0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_Toc31572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</w:t>
      </w:r>
      <w:r>
        <w:rPr>
          <w:rFonts w:ascii="仿宋" w:hAnsi="仿宋" w:eastAsia="仿宋" w:cs="仿宋"/>
          <w:bCs/>
          <w:szCs w:val="28"/>
        </w:rPr>
        <w:t>1</w:t>
      </w:r>
      <w:r>
        <w:rPr>
          <w:rFonts w:hint="eastAsia" w:ascii="仿宋" w:hAnsi="仿宋" w:eastAsia="仿宋" w:cs="仿宋"/>
          <w:bCs/>
          <w:szCs w:val="28"/>
        </w:rPr>
        <w:t>）总体规模</w:t>
      </w:r>
      <w:r>
        <w:tab/>
      </w:r>
      <w:r>
        <w:fldChar w:fldCharType="begin"/>
      </w:r>
      <w:r>
        <w:instrText xml:space="preserve"> PAGEREF _Toc31572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2E3C83D0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_Toc5070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（2）生源结构</w:t>
      </w:r>
      <w:r>
        <w:tab/>
      </w:r>
      <w:r>
        <w:fldChar w:fldCharType="begin"/>
      </w:r>
      <w:r>
        <w:instrText xml:space="preserve"> PAGEREF _Toc5070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0A5A6D08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_Toc15124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（3）民族结构</w:t>
      </w:r>
      <w:r>
        <w:tab/>
      </w:r>
      <w:r>
        <w:fldChar w:fldCharType="begin"/>
      </w:r>
      <w:r>
        <w:instrText xml:space="preserve"> PAGEREF _Toc15124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7AEF9F5D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_Toc31251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（4）专业结构</w:t>
      </w:r>
      <w:r>
        <w:tab/>
      </w:r>
      <w:r>
        <w:fldChar w:fldCharType="begin"/>
      </w:r>
      <w:r>
        <w:instrText xml:space="preserve"> PAGEREF _Toc31251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30793747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_Toc18899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黑体" w:hAnsi="黑体" w:eastAsia="黑体" w:cs="宋体"/>
          <w:bCs/>
          <w:szCs w:val="32"/>
        </w:rPr>
        <w:t>2 初次毕业去向落实率及毕业去向</w:t>
      </w:r>
      <w:r>
        <w:tab/>
      </w:r>
      <w:r>
        <w:fldChar w:fldCharType="begin"/>
      </w:r>
      <w:r>
        <w:instrText xml:space="preserve"> PAGEREF _Toc18899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13991D4D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_Toc29388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楷体" w:hAnsi="楷体" w:eastAsia="楷体" w:cs="宋体"/>
          <w:bCs/>
          <w:szCs w:val="32"/>
        </w:rPr>
        <w:t>2</w:t>
      </w:r>
      <w:r>
        <w:rPr>
          <w:rFonts w:ascii="楷体" w:hAnsi="楷体" w:eastAsia="楷体" w:cs="宋体"/>
          <w:bCs/>
          <w:szCs w:val="32"/>
        </w:rPr>
        <w:t>.1</w:t>
      </w:r>
      <w:r>
        <w:rPr>
          <w:rFonts w:hint="eastAsia" w:ascii="楷体" w:hAnsi="楷体" w:eastAsia="楷体" w:cs="宋体"/>
          <w:bCs/>
          <w:szCs w:val="32"/>
        </w:rPr>
        <w:t>毕业去向和毕业去向落实率</w:t>
      </w:r>
      <w:r>
        <w:tab/>
      </w:r>
      <w:r>
        <w:fldChar w:fldCharType="begin"/>
      </w:r>
      <w:r>
        <w:instrText xml:space="preserve"> PAGEREF _Toc29388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921FC74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_Toc13284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（1）毕业去向落实率</w:t>
      </w:r>
      <w:r>
        <w:tab/>
      </w:r>
      <w:r>
        <w:fldChar w:fldCharType="begin"/>
      </w:r>
      <w:r>
        <w:instrText xml:space="preserve"> PAGEREF _Toc13284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02FD3A4D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_Toc28290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</w:t>
      </w:r>
      <w:r>
        <w:rPr>
          <w:rFonts w:ascii="仿宋" w:hAnsi="仿宋" w:eastAsia="仿宋" w:cs="仿宋"/>
          <w:bCs/>
          <w:szCs w:val="28"/>
        </w:rPr>
        <w:t>2</w:t>
      </w:r>
      <w:r>
        <w:rPr>
          <w:rFonts w:hint="eastAsia" w:ascii="仿宋" w:hAnsi="仿宋" w:eastAsia="仿宋" w:cs="仿宋"/>
          <w:bCs/>
          <w:szCs w:val="28"/>
        </w:rPr>
        <w:t>）就业地区流向</w:t>
      </w:r>
      <w:r>
        <w:tab/>
      </w:r>
      <w:r>
        <w:fldChar w:fldCharType="begin"/>
      </w:r>
      <w:r>
        <w:instrText xml:space="preserve"> PAGEREF _Toc28290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6C98B4B0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_Toc28458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（3）就业单位流向</w:t>
      </w:r>
      <w:r>
        <w:tab/>
      </w:r>
      <w:r>
        <w:fldChar w:fldCharType="begin"/>
      </w:r>
      <w:r>
        <w:instrText xml:space="preserve"> PAGEREF _Toc28458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6B621DBB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_Toc7451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（4）就业行业流向</w:t>
      </w:r>
      <w:r>
        <w:tab/>
      </w:r>
      <w:r>
        <w:fldChar w:fldCharType="begin"/>
      </w:r>
      <w:r>
        <w:instrText xml:space="preserve"> PAGEREF _Toc7451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75EBC306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_Toc32567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（5）就业职业流向</w:t>
      </w:r>
      <w:r>
        <w:tab/>
      </w:r>
      <w:r>
        <w:fldChar w:fldCharType="begin"/>
      </w:r>
      <w:r>
        <w:instrText xml:space="preserve"> PAGEREF _Toc32567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69A6B6E4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_Toc25096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（6）升学</w:t>
      </w:r>
      <w:r>
        <w:tab/>
      </w:r>
      <w:r>
        <w:fldChar w:fldCharType="begin"/>
      </w:r>
      <w:r>
        <w:instrText xml:space="preserve"> PAGEREF _Toc25096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1FE8706A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_Toc30553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宋体"/>
          <w:szCs w:val="28"/>
        </w:rPr>
        <w:t>（7）未就业情况分析</w:t>
      </w:r>
      <w:r>
        <w:tab/>
      </w:r>
      <w:r>
        <w:fldChar w:fldCharType="begin"/>
      </w:r>
      <w:r>
        <w:instrText xml:space="preserve"> PAGEREF _Toc30553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2CF80CA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_Toc12943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ascii="黑体" w:hAnsi="黑体" w:eastAsia="黑体" w:cs="宋体"/>
          <w:bCs/>
          <w:szCs w:val="32"/>
        </w:rPr>
        <w:t>3</w:t>
      </w:r>
      <w:r>
        <w:rPr>
          <w:rFonts w:hint="eastAsia" w:ascii="黑体" w:hAnsi="黑体" w:eastAsia="黑体" w:cs="宋体"/>
          <w:bCs/>
          <w:szCs w:val="32"/>
        </w:rPr>
        <w:t xml:space="preserve"> 就业相关分析</w:t>
      </w:r>
      <w:r>
        <w:tab/>
      </w:r>
      <w:r>
        <w:fldChar w:fldCharType="begin"/>
      </w:r>
      <w:r>
        <w:instrText xml:space="preserve"> PAGEREF _Toc12943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24B2FF83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_Toc12834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ascii="楷体" w:hAnsi="楷体" w:eastAsia="楷体" w:cs="宋体"/>
          <w:bCs/>
          <w:szCs w:val="32"/>
        </w:rPr>
        <w:t>3.1</w:t>
      </w:r>
      <w:r>
        <w:rPr>
          <w:rFonts w:hint="eastAsia" w:ascii="楷体" w:hAnsi="楷体" w:eastAsia="楷体" w:cs="宋体"/>
          <w:bCs/>
          <w:szCs w:val="32"/>
        </w:rPr>
        <w:t>专业对口率</w:t>
      </w:r>
      <w:r>
        <w:tab/>
      </w:r>
      <w:r>
        <w:fldChar w:fldCharType="begin"/>
      </w:r>
      <w:r>
        <w:instrText xml:space="preserve"> PAGEREF _Toc12834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1CD86A87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_Toc30648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楷体" w:hAnsi="楷体" w:eastAsia="楷体" w:cs="宋体"/>
          <w:bCs/>
          <w:szCs w:val="32"/>
        </w:rPr>
        <w:t>3</w:t>
      </w:r>
      <w:r>
        <w:rPr>
          <w:rFonts w:ascii="楷体" w:hAnsi="楷体" w:eastAsia="楷体" w:cs="宋体"/>
          <w:bCs/>
          <w:szCs w:val="32"/>
        </w:rPr>
        <w:t xml:space="preserve">.2 </w:t>
      </w:r>
      <w:r>
        <w:rPr>
          <w:rFonts w:hint="eastAsia" w:ascii="楷体" w:hAnsi="楷体" w:eastAsia="楷体" w:cs="宋体"/>
          <w:bCs/>
          <w:szCs w:val="32"/>
        </w:rPr>
        <w:t>满意度调查</w:t>
      </w:r>
      <w:r>
        <w:tab/>
      </w:r>
      <w:r>
        <w:fldChar w:fldCharType="begin"/>
      </w:r>
      <w:r>
        <w:instrText xml:space="preserve"> PAGEREF _Toc30648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DC1FDF0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_Toc4661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宋体"/>
          <w:szCs w:val="28"/>
        </w:rPr>
        <w:t>（</w:t>
      </w:r>
      <w:r>
        <w:rPr>
          <w:rFonts w:ascii="仿宋" w:hAnsi="仿宋" w:eastAsia="仿宋" w:cs="宋体"/>
          <w:szCs w:val="28"/>
        </w:rPr>
        <w:t>1</w:t>
      </w:r>
      <w:r>
        <w:rPr>
          <w:rFonts w:hint="eastAsia" w:ascii="仿宋" w:hAnsi="仿宋" w:eastAsia="仿宋" w:cs="宋体"/>
          <w:szCs w:val="28"/>
        </w:rPr>
        <w:t>）就业满意度调查</w:t>
      </w:r>
      <w:r>
        <w:tab/>
      </w:r>
      <w:r>
        <w:fldChar w:fldCharType="begin"/>
      </w:r>
      <w:r>
        <w:instrText xml:space="preserve"> PAGEREF _Toc4661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16B7E1CB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_Toc6258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宋体"/>
          <w:szCs w:val="28"/>
        </w:rPr>
        <w:t>（2）对母校的满意度</w:t>
      </w:r>
      <w:r>
        <w:tab/>
      </w:r>
      <w:r>
        <w:fldChar w:fldCharType="begin"/>
      </w:r>
      <w:r>
        <w:instrText xml:space="preserve"> PAGEREF _Toc6258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5F6CBC3E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_Toc32339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楷体" w:hAnsi="楷体" w:eastAsia="楷体" w:cs="宋体"/>
          <w:bCs/>
          <w:szCs w:val="32"/>
        </w:rPr>
        <w:t>3</w:t>
      </w:r>
      <w:r>
        <w:rPr>
          <w:rFonts w:ascii="楷体" w:hAnsi="楷体" w:eastAsia="楷体" w:cs="宋体"/>
          <w:bCs/>
          <w:szCs w:val="32"/>
        </w:rPr>
        <w:t>.3</w:t>
      </w:r>
      <w:r>
        <w:rPr>
          <w:rFonts w:hint="eastAsia" w:ascii="楷体" w:hAnsi="楷体" w:eastAsia="楷体" w:cs="宋体"/>
          <w:bCs/>
          <w:szCs w:val="32"/>
        </w:rPr>
        <w:t xml:space="preserve"> 求职途径分析</w:t>
      </w:r>
      <w:r>
        <w:tab/>
      </w:r>
      <w:r>
        <w:fldChar w:fldCharType="begin"/>
      </w:r>
      <w:r>
        <w:instrText xml:space="preserve"> PAGEREF _Toc32339 \h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D4BFDA0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_Toc13783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楷体" w:hAnsi="楷体" w:eastAsia="楷体" w:cs="宋体"/>
          <w:bCs/>
          <w:szCs w:val="32"/>
        </w:rPr>
        <w:t>3.</w:t>
      </w:r>
      <w:r>
        <w:rPr>
          <w:rFonts w:ascii="楷体" w:hAnsi="楷体" w:eastAsia="楷体" w:cs="宋体"/>
          <w:bCs/>
          <w:szCs w:val="32"/>
        </w:rPr>
        <w:t>4</w:t>
      </w:r>
      <w:r>
        <w:rPr>
          <w:rFonts w:hint="eastAsia" w:ascii="楷体" w:hAnsi="楷体" w:eastAsia="楷体" w:cs="宋体"/>
          <w:bCs/>
          <w:szCs w:val="32"/>
        </w:rPr>
        <w:t xml:space="preserve"> 对教育教学的反馈</w:t>
      </w:r>
      <w:r>
        <w:tab/>
      </w:r>
      <w:r>
        <w:fldChar w:fldCharType="begin"/>
      </w:r>
      <w:r>
        <w:instrText xml:space="preserve"> PAGEREF _Toc13783 \h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78A8BA5D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_Toc6914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（1）专业课评价</w:t>
      </w:r>
      <w:r>
        <w:tab/>
      </w:r>
      <w:r>
        <w:fldChar w:fldCharType="begin"/>
      </w:r>
      <w:r>
        <w:instrText xml:space="preserve"> PAGEREF _Toc6914 \h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9358079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_Toc13003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（2）实践教学环节评价</w:t>
      </w:r>
      <w:r>
        <w:tab/>
      </w:r>
      <w:r>
        <w:fldChar w:fldCharType="begin"/>
      </w:r>
      <w:r>
        <w:instrText xml:space="preserve"> PAGEREF _Toc13003 \h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5379FB34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_Toc5703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hint="eastAsia" w:ascii="仿宋" w:hAnsi="仿宋" w:eastAsia="仿宋" w:cs="仿宋"/>
          <w:bCs/>
          <w:szCs w:val="28"/>
        </w:rPr>
        <w:t>（3）任课教师评价</w:t>
      </w:r>
      <w:r>
        <w:tab/>
      </w:r>
      <w:r>
        <w:fldChar w:fldCharType="begin"/>
      </w:r>
      <w:r>
        <w:instrText xml:space="preserve"> PAGEREF _Toc5703 \h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2F2D5643">
      <w:pPr>
        <w:pStyle w:val="7"/>
        <w:tabs>
          <w:tab w:val="right" w:leader="dot" w:pos="8312"/>
          <w:tab w:val="clear" w:pos="8302"/>
        </w:tabs>
      </w:pPr>
      <w:r>
        <w:rPr>
          <w:rFonts w:hint="eastAsia" w:ascii="微软雅黑" w:hAnsi="微软雅黑" w:eastAsia="微软雅黑" w:cs="微软雅黑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Cs w:val="21"/>
        </w:rPr>
        <w:instrText xml:space="preserve"> HYPERLINK \l _Toc10559 </w:instrText>
      </w:r>
      <w:r>
        <w:rPr>
          <w:rFonts w:hint="eastAsia" w:ascii="微软雅黑" w:hAnsi="微软雅黑" w:eastAsia="微软雅黑" w:cs="微软雅黑"/>
          <w:szCs w:val="21"/>
        </w:rPr>
        <w:fldChar w:fldCharType="separate"/>
      </w:r>
      <w:r>
        <w:rPr>
          <w:rFonts w:ascii="黑体" w:hAnsi="黑体" w:eastAsia="黑体" w:cs="宋体"/>
          <w:bCs/>
          <w:szCs w:val="32"/>
        </w:rPr>
        <w:t>4</w:t>
      </w:r>
      <w:r>
        <w:rPr>
          <w:rFonts w:hint="eastAsia" w:ascii="黑体" w:hAnsi="黑体" w:eastAsia="黑体" w:cs="宋体"/>
          <w:bCs/>
          <w:szCs w:val="32"/>
        </w:rPr>
        <w:t xml:space="preserve"> 就业工作特色</w:t>
      </w:r>
      <w:r>
        <w:tab/>
      </w:r>
      <w:r>
        <w:fldChar w:fldCharType="begin"/>
      </w:r>
      <w:r>
        <w:instrText xml:space="preserve"> PAGEREF _Toc10559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6AF02006">
      <w:pPr>
        <w:spacing w:line="360" w:lineRule="auto"/>
        <w:jc w:val="left"/>
        <w:outlineLvl w:val="0"/>
        <w:rPr>
          <w:rFonts w:hint="eastAsia" w:ascii="微软雅黑" w:hAnsi="微软雅黑" w:eastAsia="微软雅黑" w:cs="微软雅黑"/>
          <w:sz w:val="28"/>
          <w:szCs w:val="21"/>
        </w:rPr>
        <w:sectPr>
          <w:footerReference r:id="rId4" w:type="first"/>
          <w:footerReference r:id="rId3" w:type="default"/>
          <w:pgSz w:w="11906" w:h="16838"/>
          <w:pgMar w:top="1440" w:right="1797" w:bottom="1440" w:left="1797" w:header="851" w:footer="992" w:gutter="0"/>
          <w:pgNumType w:start="3"/>
          <w:cols w:space="425" w:num="1"/>
          <w:titlePg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szCs w:val="21"/>
        </w:rPr>
        <w:fldChar w:fldCharType="end"/>
      </w:r>
    </w:p>
    <w:p w14:paraId="4FEEE4E9">
      <w:pPr>
        <w:adjustRightInd w:val="0"/>
        <w:snapToGrid w:val="0"/>
        <w:spacing w:line="360" w:lineRule="auto"/>
        <w:outlineLvl w:val="0"/>
        <w:rPr>
          <w:rFonts w:ascii="黑体" w:hAnsi="黑体" w:eastAsia="黑体" w:cs="宋体"/>
          <w:bCs/>
          <w:sz w:val="32"/>
          <w:szCs w:val="32"/>
        </w:rPr>
      </w:pPr>
      <w:bookmarkStart w:id="2" w:name="_Toc29785"/>
      <w:r>
        <w:rPr>
          <w:rFonts w:hint="eastAsia" w:ascii="黑体" w:hAnsi="黑体" w:eastAsia="黑体" w:cs="宋体"/>
          <w:bCs/>
          <w:sz w:val="32"/>
          <w:szCs w:val="32"/>
        </w:rPr>
        <w:t>1</w:t>
      </w:r>
      <w:r>
        <w:rPr>
          <w:rFonts w:ascii="黑体" w:hAnsi="黑体" w:eastAsia="黑体" w:cs="宋体"/>
          <w:bCs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2"/>
        </w:rPr>
        <w:t>毕业生基本情况</w:t>
      </w:r>
      <w:bookmarkEnd w:id="2"/>
    </w:p>
    <w:p w14:paraId="01BDC16A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3" w:name="_Toc27830"/>
      <w:r>
        <w:rPr>
          <w:rFonts w:hint="eastAsia" w:ascii="楷体" w:hAnsi="楷体" w:eastAsia="楷体" w:cs="宋体"/>
          <w:b/>
          <w:bCs/>
          <w:sz w:val="32"/>
          <w:szCs w:val="32"/>
        </w:rPr>
        <w:t>1</w:t>
      </w:r>
      <w:r>
        <w:rPr>
          <w:rFonts w:ascii="楷体" w:hAnsi="楷体" w:eastAsia="楷体" w:cs="宋体"/>
          <w:b/>
          <w:bCs/>
          <w:sz w:val="32"/>
          <w:szCs w:val="32"/>
        </w:rPr>
        <w:t>.1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>毕业生的规模和结构</w:t>
      </w:r>
      <w:bookmarkEnd w:id="3"/>
    </w:p>
    <w:p w14:paraId="43BA56F9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4" w:name="_Toc14899"/>
      <w:bookmarkStart w:id="5" w:name="_Toc31572"/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ascii="仿宋" w:hAnsi="仿宋" w:eastAsia="仿宋" w:cs="仿宋"/>
          <w:bCs/>
          <w:sz w:val="28"/>
          <w:szCs w:val="28"/>
        </w:rPr>
        <w:t>1</w:t>
      </w:r>
      <w:r>
        <w:rPr>
          <w:rFonts w:hint="eastAsia" w:ascii="仿宋" w:hAnsi="仿宋" w:eastAsia="仿宋" w:cs="仿宋"/>
          <w:bCs/>
          <w:sz w:val="28"/>
          <w:szCs w:val="28"/>
        </w:rPr>
        <w:t>）总体规模</w:t>
      </w:r>
      <w:bookmarkEnd w:id="4"/>
      <w:bookmarkEnd w:id="5"/>
    </w:p>
    <w:p w14:paraId="538BE5C4">
      <w:pPr>
        <w:adjustRightInd w:val="0"/>
        <w:snapToGrid w:val="0"/>
        <w:spacing w:line="360" w:lineRule="auto"/>
        <w:ind w:firstLine="561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阜新高等专科学校20</w:t>
      </w:r>
      <w:r>
        <w:rPr>
          <w:rFonts w:ascii="仿宋" w:hAnsi="仿宋" w:eastAsia="仿宋" w:cs="宋体"/>
          <w:sz w:val="28"/>
          <w:szCs w:val="28"/>
        </w:rPr>
        <w:t>24</w:t>
      </w:r>
      <w:r>
        <w:rPr>
          <w:rFonts w:hint="eastAsia" w:ascii="仿宋" w:hAnsi="仿宋" w:eastAsia="仿宋" w:cs="宋体"/>
          <w:sz w:val="28"/>
          <w:szCs w:val="28"/>
        </w:rPr>
        <w:t>届毕业生总计</w:t>
      </w:r>
      <w:r>
        <w:rPr>
          <w:rFonts w:ascii="仿宋" w:hAnsi="仿宋" w:eastAsia="仿宋" w:cs="宋体"/>
          <w:sz w:val="28"/>
          <w:szCs w:val="28"/>
        </w:rPr>
        <w:t>2057</w:t>
      </w:r>
      <w:r>
        <w:rPr>
          <w:rFonts w:hint="eastAsia" w:ascii="仿宋" w:hAnsi="仿宋" w:eastAsia="仿宋" w:cs="宋体"/>
          <w:sz w:val="28"/>
          <w:szCs w:val="28"/>
        </w:rPr>
        <w:t>名。其中，男生</w:t>
      </w:r>
      <w:r>
        <w:rPr>
          <w:rFonts w:ascii="仿宋" w:hAnsi="仿宋" w:eastAsia="仿宋" w:cs="宋体"/>
          <w:sz w:val="28"/>
          <w:szCs w:val="28"/>
        </w:rPr>
        <w:t>814</w:t>
      </w:r>
      <w:r>
        <w:rPr>
          <w:rFonts w:hint="eastAsia" w:ascii="仿宋" w:hAnsi="仿宋" w:eastAsia="仿宋" w:cs="宋体"/>
          <w:sz w:val="28"/>
          <w:szCs w:val="28"/>
        </w:rPr>
        <w:t>人，女生</w:t>
      </w:r>
      <w:r>
        <w:rPr>
          <w:rFonts w:ascii="仿宋" w:hAnsi="仿宋" w:eastAsia="仿宋" w:cs="宋体"/>
          <w:sz w:val="28"/>
          <w:szCs w:val="28"/>
        </w:rPr>
        <w:t>1243</w:t>
      </w:r>
      <w:r>
        <w:rPr>
          <w:rFonts w:hint="eastAsia" w:ascii="仿宋" w:hAnsi="仿宋" w:eastAsia="仿宋" w:cs="宋体"/>
          <w:sz w:val="28"/>
          <w:szCs w:val="28"/>
        </w:rPr>
        <w:t>人，男女性别比例为</w:t>
      </w:r>
      <w:r>
        <w:rPr>
          <w:rFonts w:ascii="仿宋" w:hAnsi="仿宋" w:eastAsia="仿宋" w:cs="宋体"/>
          <w:sz w:val="28"/>
          <w:szCs w:val="28"/>
        </w:rPr>
        <w:t>0.65</w:t>
      </w:r>
      <w:r>
        <w:rPr>
          <w:rFonts w:hint="eastAsia" w:ascii="仿宋" w:hAnsi="仿宋" w:eastAsia="仿宋" w:cs="宋体"/>
          <w:sz w:val="28"/>
          <w:szCs w:val="28"/>
        </w:rPr>
        <w:t>:1。按照生源所在地分为省内生源1658人，省外生源399人；毕业生中还包括贫困生241人（占毕业生总数的9.66%）。</w:t>
      </w:r>
    </w:p>
    <w:p w14:paraId="276CFDE6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6" w:name="_Toc5070"/>
      <w:r>
        <w:rPr>
          <w:rFonts w:hint="eastAsia" w:ascii="仿宋" w:hAnsi="仿宋" w:eastAsia="仿宋" w:cs="仿宋"/>
          <w:bCs/>
          <w:sz w:val="28"/>
          <w:szCs w:val="28"/>
        </w:rPr>
        <w:t>（2）生源结构</w:t>
      </w:r>
      <w:bookmarkEnd w:id="6"/>
    </w:p>
    <w:p w14:paraId="71310D08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学校2</w:t>
      </w:r>
      <w:r>
        <w:rPr>
          <w:rFonts w:ascii="仿宋" w:hAnsi="仿宋" w:eastAsia="仿宋" w:cs="宋体"/>
          <w:sz w:val="28"/>
          <w:szCs w:val="28"/>
        </w:rPr>
        <w:t>024</w:t>
      </w:r>
      <w:r>
        <w:rPr>
          <w:rFonts w:hint="eastAsia" w:ascii="仿宋" w:hAnsi="仿宋" w:eastAsia="仿宋" w:cs="宋体"/>
          <w:sz w:val="28"/>
          <w:szCs w:val="28"/>
        </w:rPr>
        <w:t>届生源所在地包含了全国2</w:t>
      </w: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个省（市/自治区）。以辽宁省内生源为主，占8</w:t>
      </w:r>
      <w:r>
        <w:rPr>
          <w:rFonts w:ascii="仿宋" w:hAnsi="仿宋" w:eastAsia="仿宋" w:cs="宋体"/>
          <w:sz w:val="28"/>
          <w:szCs w:val="28"/>
        </w:rPr>
        <w:t>0.60%</w:t>
      </w:r>
      <w:r>
        <w:rPr>
          <w:rFonts w:hint="eastAsia" w:ascii="仿宋" w:hAnsi="仿宋" w:eastAsia="仿宋" w:cs="宋体"/>
          <w:sz w:val="28"/>
          <w:szCs w:val="28"/>
        </w:rPr>
        <w:t>，主要来源于辽西北地区；省外生源主要来自于河南（2</w:t>
      </w:r>
      <w:r>
        <w:rPr>
          <w:rFonts w:ascii="仿宋" w:hAnsi="仿宋" w:eastAsia="仿宋" w:cs="宋体"/>
          <w:sz w:val="28"/>
          <w:szCs w:val="28"/>
        </w:rPr>
        <w:t>.67%</w:t>
      </w:r>
      <w:r>
        <w:rPr>
          <w:rFonts w:hint="eastAsia" w:ascii="仿宋" w:hAnsi="仿宋" w:eastAsia="仿宋" w:cs="宋体"/>
          <w:sz w:val="28"/>
          <w:szCs w:val="28"/>
        </w:rPr>
        <w:t>）、广西（2</w:t>
      </w:r>
      <w:r>
        <w:rPr>
          <w:rFonts w:ascii="仿宋" w:hAnsi="仿宋" w:eastAsia="仿宋" w:cs="宋体"/>
          <w:sz w:val="28"/>
          <w:szCs w:val="28"/>
        </w:rPr>
        <w:t>.53%</w:t>
      </w:r>
      <w:r>
        <w:rPr>
          <w:rFonts w:hint="eastAsia" w:ascii="仿宋" w:hAnsi="仿宋" w:eastAsia="仿宋" w:cs="宋体"/>
          <w:sz w:val="28"/>
          <w:szCs w:val="28"/>
        </w:rPr>
        <w:t>）、新疆（2</w:t>
      </w:r>
      <w:r>
        <w:rPr>
          <w:rFonts w:ascii="仿宋" w:hAnsi="仿宋" w:eastAsia="仿宋" w:cs="宋体"/>
          <w:sz w:val="28"/>
          <w:szCs w:val="28"/>
        </w:rPr>
        <w:t>.00%</w:t>
      </w:r>
      <w:r>
        <w:rPr>
          <w:rFonts w:hint="eastAsia" w:ascii="仿宋" w:hAnsi="仿宋" w:eastAsia="仿宋" w:cs="宋体"/>
          <w:sz w:val="28"/>
          <w:szCs w:val="28"/>
        </w:rPr>
        <w:t>）、黑龙江（2</w:t>
      </w:r>
      <w:r>
        <w:rPr>
          <w:rFonts w:ascii="仿宋" w:hAnsi="仿宋" w:eastAsia="仿宋" w:cs="宋体"/>
          <w:sz w:val="28"/>
          <w:szCs w:val="28"/>
        </w:rPr>
        <w:t>.00%</w:t>
      </w:r>
      <w:r>
        <w:rPr>
          <w:rFonts w:hint="eastAsia" w:ascii="仿宋" w:hAnsi="仿宋" w:eastAsia="仿宋" w:cs="宋体"/>
          <w:sz w:val="28"/>
          <w:szCs w:val="28"/>
        </w:rPr>
        <w:t>）等省份。</w:t>
      </w:r>
    </w:p>
    <w:p w14:paraId="7EA20D6D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7" w:name="_Toc15124"/>
      <w:r>
        <w:rPr>
          <w:rFonts w:hint="eastAsia" w:ascii="仿宋" w:hAnsi="仿宋" w:eastAsia="仿宋" w:cs="仿宋"/>
          <w:bCs/>
          <w:sz w:val="28"/>
          <w:szCs w:val="28"/>
        </w:rPr>
        <w:t>（3）民族结构</w:t>
      </w:r>
      <w:bookmarkEnd w:id="7"/>
    </w:p>
    <w:p w14:paraId="06859A83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</w:t>
      </w:r>
      <w:r>
        <w:rPr>
          <w:rFonts w:ascii="仿宋" w:hAnsi="仿宋" w:eastAsia="仿宋" w:cs="宋体"/>
          <w:sz w:val="28"/>
          <w:szCs w:val="28"/>
        </w:rPr>
        <w:t>024</w:t>
      </w:r>
      <w:r>
        <w:rPr>
          <w:rFonts w:hint="eastAsia" w:ascii="仿宋" w:hAnsi="仿宋" w:eastAsia="仿宋" w:cs="宋体"/>
          <w:sz w:val="28"/>
          <w:szCs w:val="28"/>
        </w:rPr>
        <w:t>届毕业生中汉族学生1</w:t>
      </w:r>
      <w:r>
        <w:rPr>
          <w:rFonts w:ascii="仿宋" w:hAnsi="仿宋" w:eastAsia="仿宋" w:cs="宋体"/>
          <w:sz w:val="28"/>
          <w:szCs w:val="28"/>
        </w:rPr>
        <w:t>580</w:t>
      </w:r>
      <w:r>
        <w:rPr>
          <w:rFonts w:hint="eastAsia" w:ascii="仿宋" w:hAnsi="仿宋" w:eastAsia="仿宋" w:cs="宋体"/>
          <w:sz w:val="28"/>
          <w:szCs w:val="28"/>
        </w:rPr>
        <w:t>人，占7</w:t>
      </w:r>
      <w:r>
        <w:rPr>
          <w:rFonts w:ascii="仿宋" w:hAnsi="仿宋" w:eastAsia="仿宋" w:cs="宋体"/>
          <w:sz w:val="28"/>
          <w:szCs w:val="28"/>
        </w:rPr>
        <w:t>6.81%</w:t>
      </w:r>
      <w:r>
        <w:rPr>
          <w:rFonts w:hint="eastAsia" w:ascii="仿宋" w:hAnsi="仿宋" w:eastAsia="仿宋" w:cs="宋体"/>
          <w:sz w:val="28"/>
          <w:szCs w:val="28"/>
        </w:rPr>
        <w:t>。少数民族学生4</w:t>
      </w:r>
      <w:r>
        <w:rPr>
          <w:rFonts w:ascii="仿宋" w:hAnsi="仿宋" w:eastAsia="仿宋" w:cs="宋体"/>
          <w:sz w:val="28"/>
          <w:szCs w:val="28"/>
        </w:rPr>
        <w:t>77</w:t>
      </w:r>
      <w:r>
        <w:rPr>
          <w:rFonts w:hint="eastAsia" w:ascii="仿宋" w:hAnsi="仿宋" w:eastAsia="仿宋" w:cs="宋体"/>
          <w:sz w:val="28"/>
          <w:szCs w:val="28"/>
        </w:rPr>
        <w:t>人，其中较多者为满族2</w:t>
      </w:r>
      <w:r>
        <w:rPr>
          <w:rFonts w:ascii="仿宋" w:hAnsi="仿宋" w:eastAsia="仿宋" w:cs="宋体"/>
          <w:sz w:val="28"/>
          <w:szCs w:val="28"/>
        </w:rPr>
        <w:t>30</w:t>
      </w:r>
      <w:r>
        <w:rPr>
          <w:rFonts w:hint="eastAsia" w:ascii="仿宋" w:hAnsi="仿宋" w:eastAsia="仿宋" w:cs="宋体"/>
          <w:sz w:val="28"/>
          <w:szCs w:val="28"/>
        </w:rPr>
        <w:t>人，占比1</w:t>
      </w:r>
      <w:r>
        <w:rPr>
          <w:rFonts w:ascii="仿宋" w:hAnsi="仿宋" w:eastAsia="仿宋" w:cs="宋体"/>
          <w:sz w:val="28"/>
          <w:szCs w:val="28"/>
        </w:rPr>
        <w:t>1.18%</w:t>
      </w:r>
      <w:r>
        <w:rPr>
          <w:rFonts w:hint="eastAsia" w:ascii="仿宋" w:hAnsi="仿宋" w:eastAsia="仿宋" w:cs="宋体"/>
          <w:sz w:val="28"/>
          <w:szCs w:val="28"/>
        </w:rPr>
        <w:t>，蒙古族</w:t>
      </w:r>
      <w:r>
        <w:rPr>
          <w:rFonts w:ascii="仿宋" w:hAnsi="仿宋" w:eastAsia="仿宋" w:cs="宋体"/>
          <w:sz w:val="28"/>
          <w:szCs w:val="28"/>
        </w:rPr>
        <w:t>121</w:t>
      </w:r>
      <w:r>
        <w:rPr>
          <w:rFonts w:hint="eastAsia" w:ascii="仿宋" w:hAnsi="仿宋" w:eastAsia="仿宋" w:cs="宋体"/>
          <w:sz w:val="28"/>
          <w:szCs w:val="28"/>
        </w:rPr>
        <w:t>人，占比5</w:t>
      </w:r>
      <w:r>
        <w:rPr>
          <w:rFonts w:ascii="仿宋" w:hAnsi="仿宋" w:eastAsia="仿宋" w:cs="宋体"/>
          <w:sz w:val="28"/>
          <w:szCs w:val="28"/>
        </w:rPr>
        <w:t>.88%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2"/>
      </w:tblGrid>
      <w:tr w14:paraId="241C43FA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3FF4778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59690</wp:posOffset>
                  </wp:positionV>
                  <wp:extent cx="5181600" cy="3457575"/>
                  <wp:effectExtent l="0" t="0" r="0" b="0"/>
                  <wp:wrapSquare wrapText="bothSides"/>
                  <wp:docPr id="38" name="图表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</w:tc>
      </w:tr>
    </w:tbl>
    <w:p w14:paraId="4AD70C85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图1</w:t>
      </w:r>
      <w:r>
        <w:rPr>
          <w:rFonts w:ascii="仿宋" w:hAnsi="仿宋" w:eastAsia="仿宋" w:cs="微软雅黑"/>
          <w:b/>
          <w:szCs w:val="21"/>
        </w:rPr>
        <w:t>-1 2024</w:t>
      </w:r>
      <w:r>
        <w:rPr>
          <w:rFonts w:hint="eastAsia" w:ascii="仿宋" w:hAnsi="仿宋" w:eastAsia="仿宋" w:cs="微软雅黑"/>
          <w:b/>
          <w:szCs w:val="21"/>
        </w:rPr>
        <w:t>届毕业生民族结构</w:t>
      </w:r>
    </w:p>
    <w:p w14:paraId="0A192609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8" w:name="_Toc31251"/>
      <w:r>
        <w:rPr>
          <w:rFonts w:hint="eastAsia" w:ascii="仿宋" w:hAnsi="仿宋" w:eastAsia="仿宋" w:cs="仿宋"/>
          <w:bCs/>
          <w:sz w:val="28"/>
          <w:szCs w:val="28"/>
        </w:rPr>
        <w:t>（4）专业结构</w:t>
      </w:r>
      <w:bookmarkEnd w:id="8"/>
    </w:p>
    <w:p w14:paraId="4A04DCD7">
      <w:pPr>
        <w:adjustRightInd w:val="0"/>
        <w:snapToGrid w:val="0"/>
        <w:spacing w:line="360" w:lineRule="auto"/>
        <w:ind w:firstLine="561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全校毕业生分布在</w:t>
      </w:r>
      <w:r>
        <w:rPr>
          <w:rFonts w:ascii="仿宋" w:hAnsi="仿宋" w:eastAsia="仿宋" w:cs="宋体"/>
          <w:sz w:val="28"/>
          <w:szCs w:val="28"/>
        </w:rPr>
        <w:t>30</w:t>
      </w:r>
      <w:r>
        <w:rPr>
          <w:rFonts w:hint="eastAsia" w:ascii="仿宋" w:hAnsi="仿宋" w:eastAsia="仿宋" w:cs="宋体"/>
          <w:sz w:val="28"/>
          <w:szCs w:val="28"/>
        </w:rPr>
        <w:t>个专业，其中学前教育专业、小学教育专业、动物医学专业的毕业生人数较多，人数占比均在10%以上。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2"/>
      </w:tblGrid>
      <w:tr w14:paraId="02FC3CBC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053F2C0A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36830</wp:posOffset>
                  </wp:positionV>
                  <wp:extent cx="5267325" cy="3543300"/>
                  <wp:effectExtent l="0" t="0" r="9525" b="0"/>
                  <wp:wrapSquare wrapText="bothSides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54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9BB1FC6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sz w:val="28"/>
          <w:szCs w:val="28"/>
        </w:rPr>
      </w:pPr>
      <w:r>
        <w:rPr>
          <w:rFonts w:hint="eastAsia" w:ascii="仿宋" w:hAnsi="仿宋" w:eastAsia="仿宋" w:cs="微软雅黑"/>
          <w:b/>
          <w:szCs w:val="21"/>
        </w:rPr>
        <w:t>图1</w:t>
      </w:r>
      <w:r>
        <w:rPr>
          <w:rFonts w:ascii="仿宋" w:hAnsi="仿宋" w:eastAsia="仿宋" w:cs="微软雅黑"/>
          <w:b/>
          <w:szCs w:val="21"/>
        </w:rPr>
        <w:t>-2 2024</w:t>
      </w:r>
      <w:r>
        <w:rPr>
          <w:rFonts w:hint="eastAsia" w:ascii="仿宋" w:hAnsi="仿宋" w:eastAsia="仿宋" w:cs="微软雅黑"/>
          <w:b/>
          <w:szCs w:val="21"/>
        </w:rPr>
        <w:t>届毕业生专业结构</w:t>
      </w:r>
    </w:p>
    <w:p w14:paraId="171657A7">
      <w:pPr>
        <w:adjustRightInd w:val="0"/>
        <w:snapToGrid w:val="0"/>
        <w:spacing w:line="360" w:lineRule="auto"/>
        <w:outlineLvl w:val="0"/>
        <w:rPr>
          <w:rFonts w:ascii="黑体" w:hAnsi="黑体" w:eastAsia="黑体" w:cs="宋体"/>
          <w:bCs/>
          <w:sz w:val="32"/>
          <w:szCs w:val="32"/>
        </w:rPr>
      </w:pPr>
      <w:bookmarkStart w:id="9" w:name="_Toc18899"/>
      <w:r>
        <w:rPr>
          <w:rFonts w:hint="eastAsia" w:ascii="黑体" w:hAnsi="黑体" w:eastAsia="黑体" w:cs="宋体"/>
          <w:bCs/>
          <w:sz w:val="32"/>
          <w:szCs w:val="32"/>
        </w:rPr>
        <w:t>2 初次毕业去向落实率及毕业去向</w:t>
      </w:r>
      <w:bookmarkEnd w:id="9"/>
    </w:p>
    <w:p w14:paraId="245866B7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10" w:name="_Toc29388"/>
      <w:r>
        <w:rPr>
          <w:rFonts w:hint="eastAsia" w:ascii="楷体" w:hAnsi="楷体" w:eastAsia="楷体" w:cs="宋体"/>
          <w:b/>
          <w:bCs/>
          <w:sz w:val="32"/>
          <w:szCs w:val="32"/>
        </w:rPr>
        <w:t>2</w:t>
      </w:r>
      <w:r>
        <w:rPr>
          <w:rFonts w:ascii="楷体" w:hAnsi="楷体" w:eastAsia="楷体" w:cs="宋体"/>
          <w:b/>
          <w:bCs/>
          <w:sz w:val="32"/>
          <w:szCs w:val="32"/>
        </w:rPr>
        <w:t>.1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>毕业去向和毕业去向落实率</w:t>
      </w:r>
      <w:bookmarkEnd w:id="10"/>
    </w:p>
    <w:p w14:paraId="01C58070">
      <w:pPr>
        <w:adjustRightInd w:val="0"/>
        <w:snapToGrid w:val="0"/>
        <w:spacing w:line="360" w:lineRule="auto"/>
        <w:ind w:firstLine="280" w:firstLineChars="100"/>
        <w:outlineLvl w:val="0"/>
        <w:rPr>
          <w:rFonts w:hint="eastAsia" w:ascii="仿宋" w:hAnsi="仿宋" w:eastAsia="仿宋" w:cs="仿宋"/>
          <w:bCs/>
          <w:sz w:val="28"/>
          <w:szCs w:val="28"/>
        </w:rPr>
      </w:pPr>
      <w:bookmarkStart w:id="11" w:name="_Toc13284"/>
      <w:r>
        <w:rPr>
          <w:rFonts w:hint="eastAsia" w:ascii="仿宋" w:hAnsi="仿宋" w:eastAsia="仿宋" w:cs="仿宋"/>
          <w:bCs/>
          <w:sz w:val="28"/>
          <w:szCs w:val="28"/>
        </w:rPr>
        <w:t>（1）毕业去向落实率</w:t>
      </w:r>
      <w:bookmarkEnd w:id="11"/>
    </w:p>
    <w:p w14:paraId="242DD3F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截止2</w:t>
      </w:r>
      <w:r>
        <w:rPr>
          <w:rFonts w:ascii="仿宋" w:hAnsi="仿宋" w:eastAsia="仿宋" w:cs="宋体"/>
          <w:sz w:val="28"/>
          <w:szCs w:val="28"/>
        </w:rPr>
        <w:t>024</w:t>
      </w:r>
      <w:r>
        <w:rPr>
          <w:rFonts w:hint="eastAsia" w:ascii="仿宋" w:hAnsi="仿宋" w:eastAsia="仿宋" w:cs="宋体"/>
          <w:sz w:val="28"/>
          <w:szCs w:val="28"/>
        </w:rPr>
        <w:t>年8月3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日，学校2</w:t>
      </w:r>
      <w:r>
        <w:rPr>
          <w:rFonts w:ascii="仿宋" w:hAnsi="仿宋" w:eastAsia="仿宋" w:cs="宋体"/>
          <w:sz w:val="28"/>
          <w:szCs w:val="28"/>
        </w:rPr>
        <w:t>024</w:t>
      </w:r>
      <w:r>
        <w:rPr>
          <w:rFonts w:hint="eastAsia" w:ascii="仿宋" w:hAnsi="仿宋" w:eastAsia="仿宋" w:cs="宋体"/>
          <w:sz w:val="28"/>
          <w:szCs w:val="28"/>
        </w:rPr>
        <w:t>届毕业生初次毕业去向落实率为</w:t>
      </w:r>
      <w:r>
        <w:rPr>
          <w:rFonts w:ascii="仿宋" w:hAnsi="仿宋" w:eastAsia="仿宋" w:cs="宋体"/>
          <w:sz w:val="28"/>
          <w:szCs w:val="28"/>
        </w:rPr>
        <w:t>83.47</w:t>
      </w:r>
      <w:r>
        <w:rPr>
          <w:rFonts w:hint="eastAsia" w:ascii="仿宋" w:hAnsi="仿宋" w:eastAsia="仿宋" w:cs="宋体"/>
          <w:sz w:val="28"/>
          <w:szCs w:val="28"/>
        </w:rPr>
        <w:t>%。毕业去向主要以签就业协议形式就业为主，占比5</w:t>
      </w:r>
      <w:r>
        <w:rPr>
          <w:rFonts w:ascii="仿宋" w:hAnsi="仿宋" w:eastAsia="仿宋" w:cs="宋体"/>
          <w:sz w:val="28"/>
          <w:szCs w:val="28"/>
        </w:rPr>
        <w:t>9.84%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1"/>
      </w:tblGrid>
      <w:tr w14:paraId="13CBD491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44A78D61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53025" cy="3571875"/>
                  <wp:effectExtent l="0" t="0" r="0" b="0"/>
                  <wp:docPr id="42" name="图表 4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7B697CEE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2-1 2024</w:t>
      </w:r>
      <w:r>
        <w:rPr>
          <w:rFonts w:hint="eastAsia" w:ascii="仿宋" w:hAnsi="仿宋" w:eastAsia="仿宋" w:cs="微软雅黑"/>
          <w:b/>
          <w:szCs w:val="21"/>
        </w:rPr>
        <w:t>届毕业生总体初次毕业去向</w:t>
      </w:r>
    </w:p>
    <w:p w14:paraId="4F9AD6FC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12" w:name="_Toc28290"/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ascii="仿宋" w:hAnsi="仿宋" w:eastAsia="仿宋" w:cs="仿宋"/>
          <w:bCs/>
          <w:sz w:val="28"/>
          <w:szCs w:val="28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t>）就业地区流向</w:t>
      </w:r>
      <w:bookmarkEnd w:id="12"/>
    </w:p>
    <w:p w14:paraId="77D2F86C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就业区域以省内就业为主，就业流向沈阳市、阜新市等服务于辽宁地方经济发展。</w:t>
      </w:r>
    </w:p>
    <w:p w14:paraId="3FAC3C9A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</w:p>
    <w:p w14:paraId="672A90BC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</w:p>
    <w:p w14:paraId="09FFF448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</w:p>
    <w:p w14:paraId="08CAAAF1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</w:p>
    <w:p w14:paraId="111826A8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1"/>
      </w:tblGrid>
      <w:tr w14:paraId="1ECC306C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44354D94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72075" cy="3543300"/>
                  <wp:effectExtent l="0" t="0" r="0" b="0"/>
                  <wp:docPr id="43" name="图表 4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14:paraId="7A379794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 xml:space="preserve"> 2024届毕业生就业各省（市、地区）分布</w:t>
      </w:r>
    </w:p>
    <w:p w14:paraId="4555EC03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6"/>
      </w:tblGrid>
      <w:tr w14:paraId="7473E83C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1E2745A5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73345" cy="3457575"/>
                  <wp:effectExtent l="0" t="0" r="8255" b="0"/>
                  <wp:docPr id="44" name="图表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206E77F4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3</w:t>
      </w:r>
      <w:r>
        <w:rPr>
          <w:rFonts w:hint="eastAsia" w:ascii="仿宋" w:hAnsi="仿宋" w:eastAsia="仿宋" w:cs="微软雅黑"/>
          <w:b/>
          <w:szCs w:val="21"/>
        </w:rPr>
        <w:t xml:space="preserve"> 2024届毕业生就业辽宁省内分布</w:t>
      </w:r>
    </w:p>
    <w:p w14:paraId="5B2F07C0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13" w:name="_Toc28458"/>
      <w:r>
        <w:rPr>
          <w:rFonts w:hint="eastAsia" w:ascii="仿宋" w:hAnsi="仿宋" w:eastAsia="仿宋" w:cs="仿宋"/>
          <w:bCs/>
          <w:sz w:val="28"/>
          <w:szCs w:val="28"/>
        </w:rPr>
        <w:t>（3）就业单位流向</w:t>
      </w:r>
      <w:bookmarkEnd w:id="13"/>
    </w:p>
    <w:p w14:paraId="37D50DE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就业单位类型主要为企业，其中其他企业（主要为小微企业）为主，占比5</w:t>
      </w:r>
      <w:r>
        <w:rPr>
          <w:rFonts w:ascii="仿宋" w:hAnsi="仿宋" w:eastAsia="仿宋" w:cs="宋体"/>
          <w:sz w:val="28"/>
          <w:szCs w:val="28"/>
        </w:rPr>
        <w:t>6.62%</w:t>
      </w:r>
      <w:r>
        <w:rPr>
          <w:rFonts w:hint="eastAsia" w:ascii="仿宋" w:hAnsi="仿宋" w:eastAsia="仿宋" w:cs="宋体"/>
          <w:sz w:val="28"/>
          <w:szCs w:val="28"/>
        </w:rPr>
        <w:t>，其次为个体工商户，占比2</w:t>
      </w:r>
      <w:r>
        <w:rPr>
          <w:rFonts w:ascii="仿宋" w:hAnsi="仿宋" w:eastAsia="仿宋" w:cs="宋体"/>
          <w:sz w:val="28"/>
          <w:szCs w:val="28"/>
        </w:rPr>
        <w:t>8.17%</w:t>
      </w:r>
      <w:r>
        <w:rPr>
          <w:rFonts w:hint="eastAsia" w:ascii="仿宋" w:hAnsi="仿宋" w:eastAsia="仿宋" w:cs="宋体"/>
          <w:sz w:val="28"/>
          <w:szCs w:val="28"/>
        </w:rPr>
        <w:t xml:space="preserve">。 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1"/>
      </w:tblGrid>
      <w:tr w14:paraId="7FA27F62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074FCD5D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53025" cy="3533775"/>
                  <wp:effectExtent l="0" t="0" r="0" b="0"/>
                  <wp:docPr id="50" name="图表 5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14:paraId="71903DF0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4</w:t>
      </w:r>
      <w:r>
        <w:rPr>
          <w:rFonts w:hint="eastAsia" w:ascii="仿宋" w:hAnsi="仿宋" w:eastAsia="仿宋" w:cs="微软雅黑"/>
          <w:b/>
          <w:szCs w:val="21"/>
        </w:rPr>
        <w:t xml:space="preserve"> 2024届毕业生就业单位流向</w:t>
      </w:r>
    </w:p>
    <w:p w14:paraId="04EE9EEE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毕业生就业的企业规模主要集中在中小规模单位就业，占比6</w:t>
      </w:r>
      <w:r>
        <w:rPr>
          <w:rFonts w:ascii="仿宋" w:hAnsi="仿宋" w:eastAsia="仿宋" w:cs="宋体"/>
          <w:sz w:val="28"/>
          <w:szCs w:val="28"/>
        </w:rPr>
        <w:t>8</w:t>
      </w:r>
      <w:r>
        <w:rPr>
          <w:rFonts w:hint="eastAsia" w:ascii="仿宋" w:hAnsi="仿宋" w:eastAsia="仿宋" w:cs="宋体"/>
          <w:sz w:val="28"/>
          <w:szCs w:val="28"/>
        </w:rPr>
        <w:t>.</w:t>
      </w:r>
      <w:r>
        <w:rPr>
          <w:rFonts w:ascii="仿宋" w:hAnsi="仿宋" w:eastAsia="仿宋" w:cs="宋体"/>
          <w:sz w:val="28"/>
          <w:szCs w:val="28"/>
        </w:rPr>
        <w:t>12%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1"/>
      </w:tblGrid>
      <w:tr w14:paraId="4D302EFC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3F6AB2B1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53025" cy="3514725"/>
                  <wp:effectExtent l="0" t="0" r="0" b="0"/>
                  <wp:docPr id="52" name="图表 5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14:paraId="292F7988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 xml:space="preserve">5 </w:t>
      </w:r>
      <w:r>
        <w:rPr>
          <w:rFonts w:hint="eastAsia" w:ascii="仿宋" w:hAnsi="仿宋" w:eastAsia="仿宋" w:cs="微软雅黑"/>
          <w:b/>
          <w:szCs w:val="21"/>
        </w:rPr>
        <w:t>2024届毕业生就业单位规模</w:t>
      </w:r>
    </w:p>
    <w:p w14:paraId="79D7E67D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14" w:name="_Toc7451"/>
      <w:r>
        <w:rPr>
          <w:rFonts w:hint="eastAsia" w:ascii="仿宋" w:hAnsi="仿宋" w:eastAsia="仿宋" w:cs="仿宋"/>
          <w:bCs/>
          <w:sz w:val="28"/>
          <w:szCs w:val="28"/>
        </w:rPr>
        <w:t>（4）就业行业流向</w:t>
      </w:r>
      <w:bookmarkEnd w:id="14"/>
    </w:p>
    <w:p w14:paraId="750A8E3E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毕业生服务于各行各业，其中教育、农林牧渔业、修理和其他服务业、批发和零售业占比较大。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1FB8D1E2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2C8E066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0" distR="0">
                  <wp:extent cx="5278120" cy="3457575"/>
                  <wp:effectExtent l="0" t="0" r="0" b="0"/>
                  <wp:docPr id="93" name="图表 9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5AAA2A5C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6</w:t>
      </w:r>
      <w:r>
        <w:rPr>
          <w:rFonts w:hint="eastAsia" w:ascii="仿宋" w:hAnsi="仿宋" w:eastAsia="仿宋" w:cs="微软雅黑"/>
          <w:b/>
          <w:szCs w:val="21"/>
        </w:rPr>
        <w:t xml:space="preserve"> 2024届毕业生就业行业流向</w:t>
      </w:r>
    </w:p>
    <w:p w14:paraId="7017D8FE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15" w:name="_Toc32567"/>
      <w:r>
        <w:rPr>
          <w:rFonts w:hint="eastAsia" w:ascii="仿宋" w:hAnsi="仿宋" w:eastAsia="仿宋" w:cs="仿宋"/>
          <w:bCs/>
          <w:sz w:val="28"/>
          <w:szCs w:val="28"/>
        </w:rPr>
        <w:t>（5）就业职业流向</w:t>
      </w:r>
      <w:bookmarkEnd w:id="15"/>
    </w:p>
    <w:p w14:paraId="1C826D0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毕业生分布在各行各业，就业职业主要为其他人员、教学人员、农林牧渔业技术人员、商业和服务人员等。</w:t>
      </w:r>
    </w:p>
    <w:tbl>
      <w:tblPr>
        <w:tblStyle w:val="10"/>
        <w:tblW w:w="0" w:type="auto"/>
        <w:tblInd w:w="0" w:type="dxa"/>
        <w:tbl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single" w:color="A5A5A5" w:sz="4" w:space="0"/>
          <w:insideV w:val="single" w:color="A5A5A5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6"/>
      </w:tblGrid>
      <w:tr w14:paraId="56058749">
        <w:tblPrEx>
          <w:tblBorders>
            <w:top w:val="single" w:color="A5A5A5" w:sz="4" w:space="0"/>
            <w:left w:val="single" w:color="A5A5A5" w:sz="4" w:space="0"/>
            <w:bottom w:val="single" w:color="A5A5A5" w:sz="4" w:space="0"/>
            <w:right w:val="single" w:color="A5A5A5" w:sz="4" w:space="0"/>
            <w:insideH w:val="single" w:color="A5A5A5" w:sz="4" w:space="0"/>
            <w:insideV w:val="single" w:color="A5A5A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23F4E3FB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200650" cy="3514725"/>
                  <wp:effectExtent l="0" t="0" r="0" b="0"/>
                  <wp:docPr id="57" name="图表 5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</w:tbl>
    <w:p w14:paraId="791C08F6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7</w:t>
      </w:r>
      <w:r>
        <w:rPr>
          <w:rFonts w:hint="eastAsia" w:ascii="仿宋" w:hAnsi="仿宋" w:eastAsia="仿宋" w:cs="微软雅黑"/>
          <w:b/>
          <w:szCs w:val="21"/>
        </w:rPr>
        <w:t xml:space="preserve"> 2024届毕业生就业职业流向</w:t>
      </w:r>
    </w:p>
    <w:p w14:paraId="473B1120">
      <w:pPr>
        <w:adjustRightInd w:val="0"/>
        <w:snapToGrid w:val="0"/>
        <w:spacing w:line="360" w:lineRule="auto"/>
        <w:ind w:firstLine="280" w:firstLineChars="100"/>
        <w:outlineLvl w:val="0"/>
        <w:rPr>
          <w:rFonts w:hint="eastAsia" w:ascii="仿宋" w:hAnsi="仿宋" w:eastAsia="仿宋" w:cs="仿宋"/>
          <w:bCs/>
          <w:sz w:val="28"/>
          <w:szCs w:val="28"/>
        </w:rPr>
      </w:pPr>
      <w:bookmarkStart w:id="16" w:name="_Toc25096"/>
      <w:r>
        <w:rPr>
          <w:rFonts w:hint="eastAsia" w:ascii="仿宋" w:hAnsi="仿宋" w:eastAsia="仿宋" w:cs="仿宋"/>
          <w:bCs/>
          <w:sz w:val="28"/>
          <w:szCs w:val="28"/>
        </w:rPr>
        <w:t>（6）升学</w:t>
      </w:r>
      <w:bookmarkEnd w:id="16"/>
    </w:p>
    <w:p w14:paraId="57FA2F62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2024届毕业生升学2</w:t>
      </w:r>
      <w:r>
        <w:rPr>
          <w:rFonts w:ascii="仿宋" w:hAnsi="仿宋" w:eastAsia="仿宋" w:cs="宋体"/>
          <w:sz w:val="28"/>
          <w:szCs w:val="28"/>
        </w:rPr>
        <w:t>88</w:t>
      </w:r>
      <w:r>
        <w:rPr>
          <w:rFonts w:hint="eastAsia" w:ascii="仿宋" w:hAnsi="仿宋" w:eastAsia="仿宋" w:cs="宋体"/>
          <w:sz w:val="28"/>
          <w:szCs w:val="28"/>
        </w:rPr>
        <w:t>人，其中专科升普通本科2</w:t>
      </w:r>
      <w:r>
        <w:rPr>
          <w:rFonts w:ascii="仿宋" w:hAnsi="仿宋" w:eastAsia="仿宋" w:cs="宋体"/>
          <w:sz w:val="28"/>
          <w:szCs w:val="28"/>
        </w:rPr>
        <w:t>87</w:t>
      </w:r>
      <w:r>
        <w:rPr>
          <w:rFonts w:hint="eastAsia" w:ascii="仿宋" w:hAnsi="仿宋" w:eastAsia="仿宋" w:cs="宋体"/>
          <w:sz w:val="28"/>
          <w:szCs w:val="28"/>
        </w:rPr>
        <w:t>人，境外留学1人。升普通本科的学生主要流向为省内本科院校，其中大连东软信息学院占1</w:t>
      </w:r>
      <w:r>
        <w:rPr>
          <w:rFonts w:ascii="仿宋" w:hAnsi="仿宋" w:eastAsia="仿宋" w:cs="宋体"/>
          <w:sz w:val="28"/>
          <w:szCs w:val="28"/>
        </w:rPr>
        <w:t>2.20%</w:t>
      </w:r>
      <w:r>
        <w:rPr>
          <w:rFonts w:hint="eastAsia" w:ascii="仿宋" w:hAnsi="仿宋" w:eastAsia="仿宋" w:cs="宋体"/>
          <w:sz w:val="28"/>
          <w:szCs w:val="28"/>
        </w:rPr>
        <w:t>，辽东学院占1</w:t>
      </w:r>
      <w:r>
        <w:rPr>
          <w:rFonts w:ascii="仿宋" w:hAnsi="仿宋" w:eastAsia="仿宋" w:cs="宋体"/>
          <w:sz w:val="28"/>
          <w:szCs w:val="28"/>
        </w:rPr>
        <w:t>1.85%</w:t>
      </w:r>
      <w:r>
        <w:rPr>
          <w:rFonts w:hint="eastAsia" w:ascii="仿宋" w:hAnsi="仿宋" w:eastAsia="仿宋" w:cs="宋体"/>
          <w:sz w:val="28"/>
          <w:szCs w:val="28"/>
        </w:rPr>
        <w:t>，大连海洋大学占8</w:t>
      </w:r>
      <w:r>
        <w:rPr>
          <w:rFonts w:ascii="仿宋" w:hAnsi="仿宋" w:eastAsia="仿宋" w:cs="宋体"/>
          <w:sz w:val="28"/>
          <w:szCs w:val="28"/>
        </w:rPr>
        <w:t>.01%</w:t>
      </w:r>
      <w:r>
        <w:rPr>
          <w:rFonts w:hint="eastAsia" w:ascii="仿宋" w:hAnsi="仿宋" w:eastAsia="仿宋" w:cs="宋体"/>
          <w:sz w:val="28"/>
          <w:szCs w:val="28"/>
        </w:rPr>
        <w:t>，辽宁科技学院6</w:t>
      </w:r>
      <w:r>
        <w:rPr>
          <w:rFonts w:ascii="仿宋" w:hAnsi="仿宋" w:eastAsia="仿宋" w:cs="宋体"/>
          <w:sz w:val="28"/>
          <w:szCs w:val="28"/>
        </w:rPr>
        <w:t>.27%</w:t>
      </w:r>
      <w:r>
        <w:rPr>
          <w:rFonts w:hint="eastAsia" w:ascii="仿宋" w:hAnsi="仿宋" w:eastAsia="仿宋" w:cs="宋体"/>
          <w:sz w:val="28"/>
          <w:szCs w:val="28"/>
        </w:rPr>
        <w:t>，辽宁工业大学占5</w:t>
      </w:r>
      <w:r>
        <w:rPr>
          <w:rFonts w:ascii="仿宋" w:hAnsi="仿宋" w:eastAsia="仿宋" w:cs="宋体"/>
          <w:sz w:val="28"/>
          <w:szCs w:val="28"/>
        </w:rPr>
        <w:t>.23%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6"/>
      </w:tblGrid>
      <w:tr w14:paraId="4089FB34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exact"/>
        </w:trPr>
        <w:tc>
          <w:tcPr>
            <w:tcW w:w="8302" w:type="dxa"/>
          </w:tcPr>
          <w:p w14:paraId="255FF51A">
            <w:pPr>
              <w:adjustRightInd w:val="0"/>
              <w:snapToGrid w:val="0"/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62550" cy="3609975"/>
                  <wp:effectExtent l="0" t="0" r="0" b="0"/>
                  <wp:docPr id="1" name="图表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14:paraId="0C7DF76D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8</w:t>
      </w:r>
      <w:r>
        <w:rPr>
          <w:rFonts w:hint="eastAsia" w:ascii="仿宋" w:hAnsi="仿宋" w:eastAsia="仿宋" w:cs="微软雅黑"/>
          <w:b/>
          <w:szCs w:val="21"/>
        </w:rPr>
        <w:t xml:space="preserve"> 2024届毕业生升学去向</w:t>
      </w:r>
    </w:p>
    <w:p w14:paraId="4B7E1B23">
      <w:pPr>
        <w:adjustRightInd w:val="0"/>
        <w:snapToGrid w:val="0"/>
        <w:spacing w:line="360" w:lineRule="auto"/>
        <w:ind w:firstLine="560" w:firstLineChars="200"/>
        <w:outlineLvl w:val="0"/>
        <w:rPr>
          <w:rFonts w:ascii="仿宋" w:hAnsi="仿宋" w:eastAsia="仿宋" w:cs="宋体"/>
          <w:sz w:val="28"/>
          <w:szCs w:val="28"/>
        </w:rPr>
      </w:pPr>
      <w:bookmarkStart w:id="17" w:name="_Toc30553"/>
      <w:r>
        <w:rPr>
          <w:rFonts w:hint="eastAsia" w:ascii="仿宋" w:hAnsi="仿宋" w:eastAsia="仿宋" w:cs="宋体"/>
          <w:sz w:val="28"/>
          <w:szCs w:val="28"/>
        </w:rPr>
        <w:t>（7）未就业情况分析</w:t>
      </w:r>
      <w:bookmarkEnd w:id="17"/>
    </w:p>
    <w:p w14:paraId="379C66CE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未就业的毕业生中最多原因是求职中，其次是不就业拟升学。拟参加公招考试、拟应征入伍和签约中也占了一定的比例。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2"/>
      </w:tblGrid>
      <w:tr w14:paraId="6FF15DD5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7DD8EC9D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067300" cy="3495675"/>
                  <wp:effectExtent l="0" t="0" r="0" b="0"/>
                  <wp:docPr id="61" name="图表 6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</w:tbl>
    <w:p w14:paraId="7A0334C2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2-9</w:t>
      </w:r>
      <w:r>
        <w:rPr>
          <w:rFonts w:hint="eastAsia" w:ascii="仿宋" w:hAnsi="仿宋" w:eastAsia="仿宋" w:cs="微软雅黑"/>
          <w:b/>
          <w:szCs w:val="21"/>
        </w:rPr>
        <w:t xml:space="preserve"> 2024届毕业生未就业情况分析</w:t>
      </w:r>
    </w:p>
    <w:p w14:paraId="51EC74F9">
      <w:pPr>
        <w:adjustRightInd w:val="0"/>
        <w:snapToGrid w:val="0"/>
        <w:spacing w:line="360" w:lineRule="auto"/>
        <w:outlineLvl w:val="0"/>
        <w:rPr>
          <w:rFonts w:hint="eastAsia" w:ascii="黑体" w:hAnsi="黑体" w:eastAsia="黑体" w:cs="宋体"/>
          <w:bCs/>
          <w:sz w:val="32"/>
          <w:szCs w:val="32"/>
        </w:rPr>
      </w:pPr>
      <w:bookmarkStart w:id="18" w:name="_Toc12943"/>
      <w:r>
        <w:rPr>
          <w:rFonts w:ascii="黑体" w:hAnsi="黑体" w:eastAsia="黑体" w:cs="宋体"/>
          <w:bCs/>
          <w:sz w:val="32"/>
          <w:szCs w:val="32"/>
        </w:rPr>
        <w:t>3</w:t>
      </w:r>
      <w:r>
        <w:rPr>
          <w:rFonts w:hint="eastAsia" w:ascii="黑体" w:hAnsi="黑体" w:eastAsia="黑体" w:cs="宋体"/>
          <w:bCs/>
          <w:sz w:val="32"/>
          <w:szCs w:val="32"/>
        </w:rPr>
        <w:t xml:space="preserve"> 就业相关分析</w:t>
      </w:r>
      <w:bookmarkEnd w:id="18"/>
    </w:p>
    <w:p w14:paraId="03F9192E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19" w:name="_Toc12834"/>
      <w:r>
        <w:rPr>
          <w:rFonts w:ascii="楷体" w:hAnsi="楷体" w:eastAsia="楷体" w:cs="宋体"/>
          <w:b/>
          <w:bCs/>
          <w:sz w:val="32"/>
          <w:szCs w:val="32"/>
        </w:rPr>
        <w:t>3.1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>专业对口率</w:t>
      </w:r>
      <w:bookmarkEnd w:id="19"/>
    </w:p>
    <w:p w14:paraId="238D0E2D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202</w:t>
      </w:r>
      <w:r>
        <w:rPr>
          <w:rFonts w:ascii="仿宋" w:hAnsi="仿宋" w:eastAsia="仿宋" w:cs="宋体"/>
          <w:sz w:val="28"/>
          <w:szCs w:val="28"/>
        </w:rPr>
        <w:t>4</w:t>
      </w:r>
      <w:r>
        <w:rPr>
          <w:rFonts w:hint="eastAsia" w:ascii="仿宋" w:hAnsi="仿宋" w:eastAsia="仿宋" w:cs="宋体"/>
          <w:sz w:val="28"/>
          <w:szCs w:val="28"/>
        </w:rPr>
        <w:t>届毕业生总体专业对口率为</w:t>
      </w:r>
      <w:r>
        <w:rPr>
          <w:rFonts w:ascii="仿宋" w:hAnsi="仿宋" w:eastAsia="仿宋" w:cs="宋体"/>
          <w:sz w:val="28"/>
          <w:szCs w:val="28"/>
        </w:rPr>
        <w:t>74.43</w:t>
      </w:r>
      <w:r>
        <w:rPr>
          <w:rFonts w:hint="eastAsia" w:ascii="仿宋" w:hAnsi="仿宋" w:eastAsia="仿宋" w:cs="宋体"/>
          <w:sz w:val="28"/>
          <w:szCs w:val="28"/>
        </w:rPr>
        <w:t>%。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6"/>
      </w:tblGrid>
      <w:tr w14:paraId="38A4E332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705F010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81600" cy="3486150"/>
                  <wp:effectExtent l="0" t="0" r="0" b="0"/>
                  <wp:docPr id="73" name="图表 7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</w:tbl>
    <w:p w14:paraId="6DEC6F6A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3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1</w:t>
      </w:r>
      <w:r>
        <w:rPr>
          <w:rFonts w:hint="eastAsia" w:ascii="仿宋" w:hAnsi="仿宋" w:eastAsia="仿宋" w:cs="微软雅黑"/>
          <w:b/>
          <w:szCs w:val="21"/>
        </w:rPr>
        <w:t xml:space="preserve"> 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届毕业生专业对口率</w:t>
      </w:r>
    </w:p>
    <w:p w14:paraId="1338DBD8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20" w:name="_Toc30648"/>
      <w:r>
        <w:rPr>
          <w:rFonts w:hint="eastAsia" w:ascii="楷体" w:hAnsi="楷体" w:eastAsia="楷体" w:cs="宋体"/>
          <w:b/>
          <w:bCs/>
          <w:sz w:val="32"/>
          <w:szCs w:val="32"/>
        </w:rPr>
        <w:t>3</w:t>
      </w:r>
      <w:r>
        <w:rPr>
          <w:rFonts w:ascii="楷体" w:hAnsi="楷体" w:eastAsia="楷体" w:cs="宋体"/>
          <w:b/>
          <w:bCs/>
          <w:sz w:val="32"/>
          <w:szCs w:val="32"/>
        </w:rPr>
        <w:t xml:space="preserve">.2 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>满意度调查</w:t>
      </w:r>
      <w:bookmarkEnd w:id="20"/>
    </w:p>
    <w:p w14:paraId="48A16A8F">
      <w:pPr>
        <w:adjustRightInd w:val="0"/>
        <w:snapToGrid w:val="0"/>
        <w:spacing w:line="360" w:lineRule="auto"/>
        <w:ind w:firstLine="560" w:firstLineChars="200"/>
        <w:outlineLvl w:val="0"/>
        <w:rPr>
          <w:rFonts w:hint="eastAsia" w:ascii="仿宋" w:hAnsi="仿宋" w:eastAsia="仿宋" w:cs="宋体"/>
          <w:sz w:val="28"/>
          <w:szCs w:val="28"/>
        </w:rPr>
      </w:pPr>
      <w:bookmarkStart w:id="21" w:name="_Toc4661"/>
      <w:r>
        <w:rPr>
          <w:rFonts w:hint="eastAsia" w:ascii="仿宋" w:hAnsi="仿宋" w:eastAsia="仿宋" w:cs="宋体"/>
          <w:sz w:val="28"/>
          <w:szCs w:val="28"/>
        </w:rPr>
        <w:t>（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）就业满意度调查</w:t>
      </w:r>
      <w:bookmarkEnd w:id="21"/>
    </w:p>
    <w:p w14:paraId="7E6BB9F4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202</w:t>
      </w:r>
      <w:r>
        <w:rPr>
          <w:rFonts w:ascii="仿宋" w:hAnsi="仿宋" w:eastAsia="仿宋" w:cs="宋体"/>
          <w:sz w:val="28"/>
          <w:szCs w:val="28"/>
        </w:rPr>
        <w:t>4</w:t>
      </w:r>
      <w:r>
        <w:rPr>
          <w:rFonts w:hint="eastAsia" w:ascii="仿宋" w:hAnsi="仿宋" w:eastAsia="仿宋" w:cs="宋体"/>
          <w:sz w:val="28"/>
          <w:szCs w:val="28"/>
        </w:rPr>
        <w:t>届毕业生的总体就业满意度为99.</w:t>
      </w:r>
      <w:r>
        <w:rPr>
          <w:rFonts w:ascii="仿宋" w:hAnsi="仿宋" w:eastAsia="仿宋" w:cs="宋体"/>
          <w:sz w:val="28"/>
          <w:szCs w:val="28"/>
        </w:rPr>
        <w:t>9</w:t>
      </w:r>
      <w:r>
        <w:rPr>
          <w:rFonts w:hint="eastAsia" w:ascii="仿宋" w:hAnsi="仿宋" w:eastAsia="仿宋" w:cs="宋体"/>
          <w:sz w:val="28"/>
          <w:szCs w:val="28"/>
        </w:rPr>
        <w:t>4%。其中非常满意为8</w:t>
      </w:r>
      <w:r>
        <w:rPr>
          <w:rFonts w:ascii="仿宋" w:hAnsi="仿宋" w:eastAsia="仿宋" w:cs="宋体"/>
          <w:sz w:val="28"/>
          <w:szCs w:val="28"/>
        </w:rPr>
        <w:t>5.98</w:t>
      </w:r>
      <w:r>
        <w:rPr>
          <w:rFonts w:hint="eastAsia" w:ascii="仿宋" w:hAnsi="仿宋" w:eastAsia="仿宋" w:cs="宋体"/>
          <w:sz w:val="28"/>
          <w:szCs w:val="28"/>
        </w:rPr>
        <w:t>，一般满意为3</w:t>
      </w:r>
      <w:r>
        <w:rPr>
          <w:rFonts w:ascii="仿宋" w:hAnsi="仿宋" w:eastAsia="仿宋" w:cs="宋体"/>
          <w:sz w:val="28"/>
          <w:szCs w:val="28"/>
        </w:rPr>
        <w:t>.96%</w:t>
      </w:r>
      <w:r>
        <w:rPr>
          <w:rFonts w:hint="eastAsia" w:ascii="仿宋" w:hAnsi="仿宋" w:eastAsia="仿宋" w:cs="宋体"/>
          <w:sz w:val="28"/>
          <w:szCs w:val="28"/>
        </w:rPr>
        <w:t>，不满意为</w:t>
      </w:r>
      <w:r>
        <w:rPr>
          <w:rFonts w:ascii="仿宋" w:hAnsi="仿宋" w:eastAsia="仿宋" w:cs="宋体"/>
          <w:sz w:val="28"/>
          <w:szCs w:val="28"/>
        </w:rPr>
        <w:t>0.06%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1"/>
      </w:tblGrid>
      <w:tr w14:paraId="5785249B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29A9FDAF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91125" cy="3524250"/>
                  <wp:effectExtent l="0" t="0" r="0" b="0"/>
                  <wp:docPr id="75" name="图表 7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</w:tbl>
    <w:p w14:paraId="7BD7A84F">
      <w:pPr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3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2</w:t>
      </w:r>
      <w:r>
        <w:rPr>
          <w:rFonts w:hint="eastAsia" w:ascii="仿宋" w:hAnsi="仿宋" w:eastAsia="仿宋" w:cs="微软雅黑"/>
          <w:b/>
          <w:szCs w:val="21"/>
        </w:rPr>
        <w:t xml:space="preserve"> 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届毕业生就业满意度</w:t>
      </w:r>
    </w:p>
    <w:p w14:paraId="2B317DB5">
      <w:pPr>
        <w:adjustRightInd w:val="0"/>
        <w:snapToGrid w:val="0"/>
        <w:spacing w:line="360" w:lineRule="auto"/>
        <w:ind w:firstLine="560" w:firstLineChars="200"/>
        <w:outlineLvl w:val="0"/>
        <w:rPr>
          <w:rFonts w:ascii="仿宋" w:hAnsi="仿宋" w:eastAsia="仿宋" w:cs="宋体"/>
          <w:sz w:val="28"/>
          <w:szCs w:val="28"/>
        </w:rPr>
      </w:pPr>
      <w:bookmarkStart w:id="22" w:name="_Toc6258"/>
      <w:r>
        <w:rPr>
          <w:rFonts w:hint="eastAsia" w:ascii="仿宋" w:hAnsi="仿宋" w:eastAsia="仿宋" w:cs="宋体"/>
          <w:sz w:val="28"/>
          <w:szCs w:val="28"/>
        </w:rPr>
        <w:t>（2）对母校的满意度</w:t>
      </w:r>
      <w:bookmarkEnd w:id="22"/>
    </w:p>
    <w:p w14:paraId="14EE22F1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</w:t>
      </w:r>
      <w:r>
        <w:rPr>
          <w:rFonts w:ascii="仿宋" w:hAnsi="仿宋" w:eastAsia="仿宋" w:cs="宋体"/>
          <w:sz w:val="28"/>
          <w:szCs w:val="28"/>
        </w:rPr>
        <w:t>24</w:t>
      </w:r>
      <w:r>
        <w:rPr>
          <w:rFonts w:hint="eastAsia" w:ascii="仿宋" w:hAnsi="仿宋" w:eastAsia="仿宋" w:cs="宋体"/>
          <w:sz w:val="28"/>
          <w:szCs w:val="28"/>
        </w:rPr>
        <w:t>届毕业生对母校的总体满意度达到了</w:t>
      </w:r>
      <w:r>
        <w:rPr>
          <w:rFonts w:ascii="仿宋" w:hAnsi="仿宋" w:eastAsia="仿宋" w:cs="宋体"/>
          <w:sz w:val="28"/>
          <w:szCs w:val="28"/>
        </w:rPr>
        <w:t>98.98</w:t>
      </w:r>
      <w:r>
        <w:rPr>
          <w:rFonts w:hint="eastAsia" w:ascii="仿宋" w:hAnsi="仿宋" w:eastAsia="仿宋" w:cs="宋体"/>
          <w:sz w:val="28"/>
          <w:szCs w:val="28"/>
        </w:rPr>
        <w:t xml:space="preserve"> %。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6"/>
      </w:tblGrid>
      <w:tr w14:paraId="0CDF8185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46DFCD3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62550" cy="3543300"/>
                  <wp:effectExtent l="0" t="0" r="0" b="0"/>
                  <wp:docPr id="78" name="图表 7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</w:tbl>
    <w:p w14:paraId="404098F9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 xml:space="preserve">3-3 </w:t>
      </w:r>
      <w:r>
        <w:rPr>
          <w:rFonts w:hint="eastAsia" w:ascii="仿宋" w:hAnsi="仿宋" w:eastAsia="仿宋" w:cs="微软雅黑"/>
          <w:b/>
          <w:szCs w:val="21"/>
        </w:rPr>
        <w:t>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届毕业生对母校满意度</w:t>
      </w:r>
    </w:p>
    <w:p w14:paraId="593A9A79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</w:p>
    <w:p w14:paraId="085ED097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23" w:name="_Toc32339"/>
      <w:r>
        <w:rPr>
          <w:rFonts w:hint="eastAsia" w:ascii="楷体" w:hAnsi="楷体" w:eastAsia="楷体" w:cs="宋体"/>
          <w:b/>
          <w:bCs/>
          <w:sz w:val="32"/>
          <w:szCs w:val="32"/>
        </w:rPr>
        <w:t>3</w:t>
      </w:r>
      <w:r>
        <w:rPr>
          <w:rFonts w:ascii="楷体" w:hAnsi="楷体" w:eastAsia="楷体" w:cs="宋体"/>
          <w:b/>
          <w:bCs/>
          <w:sz w:val="32"/>
          <w:szCs w:val="32"/>
        </w:rPr>
        <w:t>.3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 xml:space="preserve"> 求职途径分析</w:t>
      </w:r>
      <w:bookmarkEnd w:id="23"/>
    </w:p>
    <w:p w14:paraId="22D2CC0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202</w:t>
      </w:r>
      <w:r>
        <w:rPr>
          <w:rFonts w:ascii="仿宋" w:hAnsi="仿宋" w:eastAsia="仿宋" w:cs="宋体"/>
          <w:sz w:val="28"/>
          <w:szCs w:val="28"/>
        </w:rPr>
        <w:t>4</w:t>
      </w:r>
      <w:r>
        <w:rPr>
          <w:rFonts w:hint="eastAsia" w:ascii="仿宋" w:hAnsi="仿宋" w:eastAsia="仿宋" w:cs="宋体"/>
          <w:sz w:val="28"/>
          <w:szCs w:val="28"/>
        </w:rPr>
        <w:t>届毕业生主要通过本校就业网站或招聘会落实工作。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6"/>
      </w:tblGrid>
      <w:tr w14:paraId="11D57494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64A1A03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143500" cy="3552825"/>
                  <wp:effectExtent l="0" t="0" r="0" b="0"/>
                  <wp:docPr id="80" name="图表 8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</w:tbl>
    <w:p w14:paraId="563F4D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微软雅黑"/>
          <w:b/>
          <w:szCs w:val="21"/>
        </w:rPr>
      </w:pPr>
    </w:p>
    <w:p w14:paraId="7ACA725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>3</w:t>
      </w:r>
      <w:r>
        <w:rPr>
          <w:rFonts w:hint="eastAsia" w:ascii="仿宋" w:hAnsi="仿宋" w:eastAsia="仿宋" w:cs="微软雅黑"/>
          <w:b/>
          <w:szCs w:val="21"/>
        </w:rPr>
        <w:t>-</w:t>
      </w:r>
      <w:r>
        <w:rPr>
          <w:rFonts w:ascii="仿宋" w:hAnsi="仿宋" w:eastAsia="仿宋" w:cs="微软雅黑"/>
          <w:b/>
          <w:szCs w:val="21"/>
        </w:rPr>
        <w:t>4</w:t>
      </w:r>
      <w:r>
        <w:rPr>
          <w:rFonts w:hint="eastAsia" w:ascii="仿宋" w:hAnsi="仿宋" w:eastAsia="仿宋" w:cs="微软雅黑"/>
          <w:b/>
          <w:szCs w:val="21"/>
        </w:rPr>
        <w:t xml:space="preserve"> 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届毕业生求职途径分析</w:t>
      </w:r>
    </w:p>
    <w:p w14:paraId="1E9179D6">
      <w:pPr>
        <w:adjustRightInd w:val="0"/>
        <w:snapToGrid w:val="0"/>
        <w:spacing w:line="360" w:lineRule="auto"/>
        <w:jc w:val="left"/>
        <w:outlineLvl w:val="0"/>
        <w:rPr>
          <w:rFonts w:ascii="楷体" w:hAnsi="楷体" w:eastAsia="楷体" w:cs="宋体"/>
          <w:b/>
          <w:bCs/>
          <w:sz w:val="32"/>
          <w:szCs w:val="32"/>
        </w:rPr>
      </w:pPr>
      <w:bookmarkStart w:id="24" w:name="_Toc13783"/>
      <w:r>
        <w:rPr>
          <w:rFonts w:hint="eastAsia" w:ascii="楷体" w:hAnsi="楷体" w:eastAsia="楷体" w:cs="宋体"/>
          <w:b/>
          <w:bCs/>
          <w:sz w:val="32"/>
          <w:szCs w:val="32"/>
        </w:rPr>
        <w:t>3.</w:t>
      </w:r>
      <w:r>
        <w:rPr>
          <w:rFonts w:ascii="楷体" w:hAnsi="楷体" w:eastAsia="楷体" w:cs="宋体"/>
          <w:b/>
          <w:bCs/>
          <w:sz w:val="32"/>
          <w:szCs w:val="32"/>
        </w:rPr>
        <w:t>4</w:t>
      </w:r>
      <w:r>
        <w:rPr>
          <w:rFonts w:hint="eastAsia" w:ascii="楷体" w:hAnsi="楷体" w:eastAsia="楷体" w:cs="宋体"/>
          <w:b/>
          <w:bCs/>
          <w:sz w:val="32"/>
          <w:szCs w:val="32"/>
        </w:rPr>
        <w:t xml:space="preserve"> 对教育教学的反馈</w:t>
      </w:r>
      <w:bookmarkEnd w:id="24"/>
    </w:p>
    <w:p w14:paraId="3AE467EB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25" w:name="_Toc6914"/>
      <w:r>
        <w:rPr>
          <w:rFonts w:hint="eastAsia" w:ascii="仿宋" w:hAnsi="仿宋" w:eastAsia="仿宋" w:cs="仿宋"/>
          <w:bCs/>
          <w:sz w:val="28"/>
          <w:szCs w:val="28"/>
        </w:rPr>
        <w:t>（1）专业课评价</w:t>
      </w:r>
      <w:bookmarkEnd w:id="25"/>
    </w:p>
    <w:p w14:paraId="24EB372C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毕业生中，有</w:t>
      </w:r>
      <w:r>
        <w:rPr>
          <w:rFonts w:ascii="仿宋" w:hAnsi="仿宋" w:eastAsia="仿宋" w:cs="宋体"/>
          <w:sz w:val="28"/>
          <w:szCs w:val="28"/>
        </w:rPr>
        <w:t>83.52</w:t>
      </w:r>
      <w:r>
        <w:rPr>
          <w:rFonts w:hint="eastAsia" w:ascii="仿宋" w:hAnsi="仿宋" w:eastAsia="仿宋" w:cs="宋体"/>
          <w:sz w:val="28"/>
          <w:szCs w:val="28"/>
        </w:rPr>
        <w:t>%认为学校专业课的安排对实际工作价值很大，</w:t>
      </w:r>
      <w:r>
        <w:rPr>
          <w:rFonts w:ascii="仿宋" w:hAnsi="仿宋" w:eastAsia="仿宋" w:cs="宋体"/>
          <w:sz w:val="28"/>
          <w:szCs w:val="28"/>
        </w:rPr>
        <w:t>14.39</w:t>
      </w:r>
      <w:r>
        <w:rPr>
          <w:rFonts w:hint="eastAsia" w:ascii="仿宋" w:hAnsi="仿宋" w:eastAsia="仿宋" w:cs="宋体"/>
          <w:sz w:val="28"/>
          <w:szCs w:val="28"/>
        </w:rPr>
        <w:t>%认为价值较大，</w:t>
      </w:r>
      <w:r>
        <w:rPr>
          <w:rFonts w:ascii="仿宋" w:hAnsi="仿宋" w:eastAsia="仿宋" w:cs="宋体"/>
          <w:sz w:val="28"/>
          <w:szCs w:val="28"/>
        </w:rPr>
        <w:t>2.04</w:t>
      </w:r>
      <w:r>
        <w:rPr>
          <w:rFonts w:hint="eastAsia" w:ascii="仿宋" w:hAnsi="仿宋" w:eastAsia="仿宋" w:cs="宋体"/>
          <w:sz w:val="28"/>
          <w:szCs w:val="28"/>
        </w:rPr>
        <w:t xml:space="preserve"> %认为价值一般，</w:t>
      </w:r>
      <w:r>
        <w:rPr>
          <w:rFonts w:ascii="仿宋" w:hAnsi="仿宋" w:eastAsia="仿宋" w:cs="宋体"/>
          <w:sz w:val="28"/>
          <w:szCs w:val="28"/>
        </w:rPr>
        <w:t>0.05</w:t>
      </w:r>
      <w:r>
        <w:rPr>
          <w:rFonts w:hint="eastAsia" w:ascii="仿宋" w:hAnsi="仿宋" w:eastAsia="仿宋" w:cs="宋体"/>
          <w:sz w:val="28"/>
          <w:szCs w:val="28"/>
        </w:rPr>
        <w:t xml:space="preserve"> %认为价值不大。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1"/>
      </w:tblGrid>
      <w:tr w14:paraId="28B420F8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7DAB27B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210175" cy="3524250"/>
                  <wp:effectExtent l="0" t="0" r="0" b="0"/>
                  <wp:docPr id="84" name="图表 8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14:paraId="1EC18294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 xml:space="preserve">3-5 </w:t>
      </w:r>
      <w:r>
        <w:rPr>
          <w:rFonts w:hint="eastAsia" w:ascii="仿宋" w:hAnsi="仿宋" w:eastAsia="仿宋" w:cs="微软雅黑"/>
          <w:b/>
          <w:szCs w:val="21"/>
        </w:rPr>
        <w:t>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届毕业生对专业课的评价</w:t>
      </w:r>
    </w:p>
    <w:p w14:paraId="114DC95A">
      <w:pPr>
        <w:adjustRightInd w:val="0"/>
        <w:snapToGrid w:val="0"/>
        <w:spacing w:before="120" w:after="120"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毕业生中，有</w:t>
      </w:r>
      <w:r>
        <w:rPr>
          <w:rFonts w:ascii="仿宋" w:hAnsi="仿宋" w:eastAsia="仿宋" w:cs="宋体"/>
          <w:sz w:val="28"/>
          <w:szCs w:val="28"/>
        </w:rPr>
        <w:t>70.30</w:t>
      </w:r>
      <w:r>
        <w:rPr>
          <w:rFonts w:hint="eastAsia" w:ascii="仿宋" w:hAnsi="仿宋" w:eastAsia="仿宋" w:cs="宋体"/>
          <w:sz w:val="28"/>
          <w:szCs w:val="28"/>
        </w:rPr>
        <w:t>%表示能够很好地掌握在校期间学习到的专业知识，</w:t>
      </w:r>
      <w:r>
        <w:rPr>
          <w:rFonts w:ascii="仿宋" w:hAnsi="仿宋" w:eastAsia="仿宋" w:cs="宋体"/>
          <w:sz w:val="28"/>
          <w:szCs w:val="28"/>
        </w:rPr>
        <w:t>29.27</w:t>
      </w:r>
      <w:r>
        <w:rPr>
          <w:rFonts w:hint="eastAsia" w:ascii="仿宋" w:hAnsi="仿宋" w:eastAsia="仿宋" w:cs="宋体"/>
          <w:sz w:val="28"/>
          <w:szCs w:val="28"/>
        </w:rPr>
        <w:t xml:space="preserve"> %表示掌握的较好，</w:t>
      </w:r>
      <w:r>
        <w:rPr>
          <w:rFonts w:ascii="仿宋" w:hAnsi="仿宋" w:eastAsia="仿宋" w:cs="宋体"/>
          <w:sz w:val="28"/>
          <w:szCs w:val="28"/>
        </w:rPr>
        <w:t>0.44</w:t>
      </w:r>
      <w:r>
        <w:rPr>
          <w:rFonts w:hint="eastAsia" w:ascii="仿宋" w:hAnsi="仿宋" w:eastAsia="仿宋" w:cs="宋体"/>
          <w:sz w:val="28"/>
          <w:szCs w:val="28"/>
        </w:rPr>
        <w:t xml:space="preserve"> %表示掌握的一般。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6"/>
      </w:tblGrid>
      <w:tr w14:paraId="56294CA9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79FBA50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238750" cy="3552825"/>
                  <wp:effectExtent l="0" t="0" r="0" b="0"/>
                  <wp:docPr id="88" name="图表 8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</w:tbl>
    <w:p w14:paraId="22251C1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图3</w:t>
      </w:r>
      <w:r>
        <w:rPr>
          <w:rFonts w:ascii="仿宋" w:hAnsi="仿宋" w:eastAsia="仿宋" w:cs="微软雅黑"/>
          <w:b/>
          <w:szCs w:val="21"/>
        </w:rPr>
        <w:t xml:space="preserve">-6 </w:t>
      </w:r>
      <w:r>
        <w:rPr>
          <w:rFonts w:hint="eastAsia" w:ascii="仿宋" w:hAnsi="仿宋" w:eastAsia="仿宋" w:cs="微软雅黑"/>
          <w:b/>
          <w:szCs w:val="21"/>
        </w:rPr>
        <w:t>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届毕业生专业课掌握情况</w:t>
      </w:r>
    </w:p>
    <w:p w14:paraId="502C6B7F">
      <w:pPr>
        <w:adjustRightInd w:val="0"/>
        <w:snapToGrid w:val="0"/>
        <w:spacing w:line="360" w:lineRule="auto"/>
        <w:ind w:firstLine="281" w:firstLineChars="100"/>
        <w:outlineLvl w:val="0"/>
        <w:rPr>
          <w:rFonts w:ascii="仿宋" w:hAnsi="仿宋" w:eastAsia="仿宋" w:cs="仿宋"/>
          <w:b/>
          <w:bCs/>
          <w:sz w:val="28"/>
          <w:szCs w:val="28"/>
        </w:rPr>
      </w:pPr>
    </w:p>
    <w:p w14:paraId="0350FFD6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26" w:name="_Toc13003"/>
      <w:r>
        <w:rPr>
          <w:rFonts w:hint="eastAsia" w:ascii="仿宋" w:hAnsi="仿宋" w:eastAsia="仿宋" w:cs="仿宋"/>
          <w:bCs/>
          <w:sz w:val="28"/>
          <w:szCs w:val="28"/>
        </w:rPr>
        <w:t>（2）实践教学环节评价</w:t>
      </w:r>
      <w:bookmarkEnd w:id="26"/>
    </w:p>
    <w:p w14:paraId="09EE5C29">
      <w:pPr>
        <w:adjustRightInd w:val="0"/>
        <w:snapToGrid w:val="0"/>
        <w:spacing w:before="120" w:after="120"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毕业生中，有</w:t>
      </w:r>
      <w:r>
        <w:rPr>
          <w:rFonts w:ascii="仿宋" w:hAnsi="仿宋" w:eastAsia="仿宋" w:cs="宋体"/>
          <w:sz w:val="28"/>
          <w:szCs w:val="28"/>
        </w:rPr>
        <w:t>74.43</w:t>
      </w:r>
      <w:r>
        <w:rPr>
          <w:rFonts w:hint="eastAsia" w:ascii="仿宋" w:hAnsi="仿宋" w:eastAsia="仿宋" w:cs="宋体"/>
          <w:sz w:val="28"/>
          <w:szCs w:val="28"/>
        </w:rPr>
        <w:t>%表示学校的实践教学安排很好，</w:t>
      </w:r>
      <w:r>
        <w:rPr>
          <w:rFonts w:ascii="仿宋" w:hAnsi="仿宋" w:eastAsia="仿宋" w:cs="宋体"/>
          <w:sz w:val="28"/>
          <w:szCs w:val="28"/>
        </w:rPr>
        <w:t>25.33%</w:t>
      </w:r>
      <w:r>
        <w:rPr>
          <w:rFonts w:hint="eastAsia" w:ascii="仿宋" w:hAnsi="仿宋" w:eastAsia="仿宋" w:cs="宋体"/>
          <w:sz w:val="28"/>
          <w:szCs w:val="28"/>
        </w:rPr>
        <w:t>表示安排的较好，</w:t>
      </w:r>
      <w:r>
        <w:rPr>
          <w:rFonts w:ascii="仿宋" w:hAnsi="仿宋" w:eastAsia="仿宋" w:cs="宋体"/>
          <w:sz w:val="28"/>
          <w:szCs w:val="28"/>
        </w:rPr>
        <w:t>0.24%</w:t>
      </w:r>
      <w:r>
        <w:rPr>
          <w:rFonts w:hint="eastAsia" w:ascii="仿宋" w:hAnsi="仿宋" w:eastAsia="仿宋" w:cs="宋体"/>
          <w:sz w:val="28"/>
          <w:szCs w:val="28"/>
        </w:rPr>
        <w:t>表示安排的一般。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6"/>
      </w:tblGrid>
      <w:tr w14:paraId="220C94A0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32D15BB1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drawing>
                <wp:inline distT="0" distB="0" distL="0" distR="0">
                  <wp:extent cx="5200650" cy="3562350"/>
                  <wp:effectExtent l="0" t="0" r="0" b="0"/>
                  <wp:docPr id="83" name="图表 8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14:paraId="73D5605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 xml:space="preserve">3-7 </w:t>
      </w:r>
      <w:r>
        <w:rPr>
          <w:rFonts w:hint="eastAsia" w:ascii="仿宋" w:hAnsi="仿宋" w:eastAsia="仿宋" w:cs="微软雅黑"/>
          <w:b/>
          <w:szCs w:val="21"/>
        </w:rPr>
        <w:t>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届毕业生对实践教学活动安排的评价</w:t>
      </w:r>
    </w:p>
    <w:p w14:paraId="2E332508">
      <w:pPr>
        <w:adjustRightInd w:val="0"/>
        <w:snapToGrid w:val="0"/>
        <w:spacing w:line="360" w:lineRule="auto"/>
        <w:ind w:firstLine="280" w:firstLineChars="100"/>
        <w:outlineLvl w:val="0"/>
        <w:rPr>
          <w:rFonts w:ascii="仿宋" w:hAnsi="仿宋" w:eastAsia="仿宋" w:cs="仿宋"/>
          <w:bCs/>
          <w:sz w:val="28"/>
          <w:szCs w:val="28"/>
        </w:rPr>
      </w:pPr>
      <w:bookmarkStart w:id="27" w:name="_Toc5703"/>
      <w:r>
        <w:rPr>
          <w:rFonts w:hint="eastAsia" w:ascii="仿宋" w:hAnsi="仿宋" w:eastAsia="仿宋" w:cs="仿宋"/>
          <w:bCs/>
          <w:sz w:val="28"/>
          <w:szCs w:val="28"/>
        </w:rPr>
        <w:t>（3）任课教师评价</w:t>
      </w:r>
      <w:bookmarkEnd w:id="27"/>
    </w:p>
    <w:p w14:paraId="416AAD4C">
      <w:pPr>
        <w:adjustRightInd w:val="0"/>
        <w:snapToGrid w:val="0"/>
        <w:spacing w:before="120" w:after="120"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毕业生中，有</w:t>
      </w:r>
      <w:r>
        <w:rPr>
          <w:rFonts w:ascii="仿宋" w:hAnsi="仿宋" w:eastAsia="仿宋" w:cs="宋体"/>
          <w:sz w:val="28"/>
          <w:szCs w:val="28"/>
        </w:rPr>
        <w:t>85.51%</w:t>
      </w:r>
      <w:r>
        <w:rPr>
          <w:rFonts w:hint="eastAsia" w:ascii="仿宋" w:hAnsi="仿宋" w:eastAsia="仿宋" w:cs="宋体"/>
          <w:sz w:val="28"/>
          <w:szCs w:val="28"/>
        </w:rPr>
        <w:t>认为老师教学方法和教学效果非常满意，</w:t>
      </w:r>
      <w:r>
        <w:rPr>
          <w:rFonts w:ascii="仿宋" w:hAnsi="仿宋" w:eastAsia="仿宋" w:cs="宋体"/>
          <w:sz w:val="28"/>
          <w:szCs w:val="28"/>
        </w:rPr>
        <w:t>14.39%</w:t>
      </w:r>
      <w:r>
        <w:rPr>
          <w:rFonts w:hint="eastAsia" w:ascii="仿宋" w:hAnsi="仿宋" w:eastAsia="仿宋" w:cs="宋体"/>
          <w:sz w:val="28"/>
          <w:szCs w:val="28"/>
        </w:rPr>
        <w:t>表示较满意，</w:t>
      </w:r>
      <w:r>
        <w:rPr>
          <w:rFonts w:ascii="仿宋" w:hAnsi="仿宋" w:eastAsia="仿宋" w:cs="宋体"/>
          <w:sz w:val="28"/>
          <w:szCs w:val="28"/>
        </w:rPr>
        <w:t>0.10%</w:t>
      </w:r>
      <w:r>
        <w:rPr>
          <w:rFonts w:hint="eastAsia" w:ascii="仿宋" w:hAnsi="仿宋" w:eastAsia="仿宋" w:cs="宋体"/>
          <w:sz w:val="28"/>
          <w:szCs w:val="28"/>
        </w:rPr>
        <w:t>表示一般。</w:t>
      </w:r>
    </w:p>
    <w:tbl>
      <w:tblPr>
        <w:tblStyle w:val="10"/>
        <w:tblW w:w="0" w:type="auto"/>
        <w:tblInd w:w="0" w:type="dxa"/>
        <w:tbl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6"/>
      </w:tblGrid>
      <w:tr w14:paraId="4A4661FB">
        <w:tblPrEx>
          <w:tblBorders>
            <w:top w:val="single" w:color="A5A5A5" w:themeColor="accent3" w:sz="4" w:space="0"/>
            <w:left w:val="single" w:color="A5A5A5" w:themeColor="accent3" w:sz="4" w:space="0"/>
            <w:bottom w:val="single" w:color="A5A5A5" w:themeColor="accent3" w:sz="4" w:space="0"/>
            <w:right w:val="single" w:color="A5A5A5" w:themeColor="accent3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8302" w:type="dxa"/>
          </w:tcPr>
          <w:p w14:paraId="7BC3D9BD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0" distR="0">
                  <wp:extent cx="5200650" cy="3543300"/>
                  <wp:effectExtent l="0" t="0" r="0" b="0"/>
                  <wp:docPr id="92" name="图表 9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</w:tbl>
    <w:p w14:paraId="332DF3CD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微软雅黑"/>
          <w:b/>
          <w:szCs w:val="21"/>
        </w:rPr>
      </w:pPr>
      <w:r>
        <w:rPr>
          <w:rFonts w:hint="eastAsia" w:ascii="仿宋" w:hAnsi="仿宋" w:eastAsia="仿宋" w:cs="微软雅黑"/>
          <w:b/>
          <w:szCs w:val="21"/>
        </w:rPr>
        <w:t>图</w:t>
      </w:r>
      <w:r>
        <w:rPr>
          <w:rFonts w:ascii="仿宋" w:hAnsi="仿宋" w:eastAsia="仿宋" w:cs="微软雅黑"/>
          <w:b/>
          <w:szCs w:val="21"/>
        </w:rPr>
        <w:t xml:space="preserve">3-8 </w:t>
      </w:r>
      <w:r>
        <w:rPr>
          <w:rFonts w:hint="eastAsia" w:ascii="仿宋" w:hAnsi="仿宋" w:eastAsia="仿宋" w:cs="微软雅黑"/>
          <w:b/>
          <w:szCs w:val="21"/>
        </w:rPr>
        <w:t>2</w:t>
      </w:r>
      <w:r>
        <w:rPr>
          <w:rFonts w:ascii="仿宋" w:hAnsi="仿宋" w:eastAsia="仿宋" w:cs="微软雅黑"/>
          <w:b/>
          <w:szCs w:val="21"/>
        </w:rPr>
        <w:t>024</w:t>
      </w:r>
      <w:r>
        <w:rPr>
          <w:rFonts w:hint="eastAsia" w:ascii="仿宋" w:hAnsi="仿宋" w:eastAsia="仿宋" w:cs="微软雅黑"/>
          <w:b/>
          <w:szCs w:val="21"/>
        </w:rPr>
        <w:t>届毕业生对任课教师的评价</w:t>
      </w:r>
    </w:p>
    <w:p w14:paraId="780FE12B">
      <w:pPr>
        <w:adjustRightInd w:val="0"/>
        <w:snapToGrid w:val="0"/>
        <w:spacing w:line="360" w:lineRule="auto"/>
        <w:outlineLvl w:val="0"/>
        <w:rPr>
          <w:rFonts w:hint="eastAsia" w:ascii="黑体" w:hAnsi="黑体" w:eastAsia="黑体" w:cs="宋体"/>
          <w:bCs/>
          <w:sz w:val="32"/>
          <w:szCs w:val="32"/>
        </w:rPr>
      </w:pPr>
      <w:bookmarkStart w:id="28" w:name="_Toc10559"/>
      <w:r>
        <w:rPr>
          <w:rFonts w:ascii="黑体" w:hAnsi="黑体" w:eastAsia="黑体" w:cs="宋体"/>
          <w:bCs/>
          <w:sz w:val="32"/>
          <w:szCs w:val="32"/>
        </w:rPr>
        <w:t>4</w:t>
      </w:r>
      <w:r>
        <w:rPr>
          <w:rFonts w:hint="eastAsia" w:ascii="黑体" w:hAnsi="黑体" w:eastAsia="黑体" w:cs="宋体"/>
          <w:bCs/>
          <w:sz w:val="32"/>
          <w:szCs w:val="32"/>
        </w:rPr>
        <w:t xml:space="preserve"> 就业工作特色</w:t>
      </w:r>
      <w:bookmarkEnd w:id="28"/>
    </w:p>
    <w:p w14:paraId="0D469884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（1）</w:t>
      </w:r>
      <w:r>
        <w:rPr>
          <w:rFonts w:ascii="仿宋" w:hAnsi="仿宋" w:eastAsia="仿宋" w:cs="宋体"/>
          <w:sz w:val="28"/>
          <w:szCs w:val="28"/>
        </w:rPr>
        <w:t>强化组织领导，凝聚工作合力</w:t>
      </w:r>
    </w:p>
    <w:p w14:paraId="38C30BD6">
      <w:pPr>
        <w:tabs>
          <w:tab w:val="left" w:pos="720"/>
        </w:tabs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聚焦 2024 届毕业生就业，学校提上重要日程，高频次研讨，攻克难题，出台方案并落地为制，落实 “一把手” 牵头的 “稳就业”“保就业” 行动。</w:t>
      </w:r>
    </w:p>
    <w:p w14:paraId="596D972E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重塑 “就业创业工作领导小组”，校级书记、校长领航掌舵，副书记主攻，就业中心主任实干，职能部门协同；系级集结 “系主任 + 副主任 + 联络员 + 专业导师 + 辅导员”，层层压实，构建 “四级联动” 体系，强化执行成效。</w:t>
      </w:r>
    </w:p>
    <w:p w14:paraId="0D7CE828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设立监测督查小组，完善就业监测机制，以科学、规范流程，精准把控毕业生就业 “三清”，保障数据真实可信。</w:t>
      </w:r>
    </w:p>
    <w:p w14:paraId="10791F80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（2）</w:t>
      </w:r>
      <w:r>
        <w:rPr>
          <w:rFonts w:ascii="仿宋" w:hAnsi="仿宋" w:eastAsia="仿宋" w:cs="宋体"/>
          <w:sz w:val="28"/>
          <w:szCs w:val="28"/>
        </w:rPr>
        <w:t>强化价值引领，开展就业创业指导教育</w:t>
      </w:r>
    </w:p>
    <w:p w14:paraId="38A6FF50">
      <w:pPr>
        <w:tabs>
          <w:tab w:val="left" w:pos="720"/>
        </w:tabs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立足课程，围绕职业规划、就业技能等核心，为毕业生定制 “职业规划、创业指导、实习及毕业期帮扶” 全程教育套餐，助力成长。</w:t>
      </w:r>
    </w:p>
    <w:p w14:paraId="1DF386E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诚邀校内外专家，从专业认知、心理疏导、技能特训等多元维度赋能毕业生，综合提升素养，助推求职成功。</w:t>
      </w:r>
    </w:p>
    <w:p w14:paraId="705FAB51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激活优秀毕业生 “传帮带” 能量，邀请孙浩然、孙蒙蒙等分享经验，助在校学生洞察职场，提升求职创业本领。</w:t>
      </w:r>
    </w:p>
    <w:p w14:paraId="76CC8639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联合阜新市人社局 “政策宣讲团”，深度解读就业创业政策，让毕业生懂政策、用政策。</w:t>
      </w:r>
    </w:p>
    <w:p w14:paraId="6B76A1E1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以赛为翼，举办阜新高专系列职业赛事，斩获省级、国家级荣誉，激发学生就业斗志，精准赋能就业创业。</w:t>
      </w:r>
    </w:p>
    <w:p w14:paraId="6A0610D1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（3）</w:t>
      </w:r>
      <w:r>
        <w:rPr>
          <w:rFonts w:ascii="仿宋" w:hAnsi="仿宋" w:eastAsia="仿宋" w:cs="宋体"/>
          <w:sz w:val="28"/>
          <w:szCs w:val="28"/>
        </w:rPr>
        <w:t>强化资源拓展，扩大就业渠道</w:t>
      </w:r>
    </w:p>
    <w:p w14:paraId="1FCCE540">
      <w:pPr>
        <w:tabs>
          <w:tab w:val="left" w:pos="720"/>
        </w:tabs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依托学校就业网及公众号双平台，汇聚优质企业岗位，整合各级招聘信息，一站式提供求职、入伍参军资讯与线上帮扶。</w:t>
      </w:r>
    </w:p>
    <w:p w14:paraId="1FEFB3E5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校领导挂帅走访企业，书记、校长亲率团队，探岗慰问毕业生，深耕 “校企合作”，拓宽校外就业版图。</w:t>
      </w:r>
    </w:p>
    <w:p w14:paraId="1D85CD02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密集举办招聘会，“阜新高专 2024 年春季双选会” 聚百家企业，携手人社局、妇联等打造多元招聘专场，为各届、各类毕业生开辟就业通途，力促留辽留阜就业。</w:t>
      </w:r>
    </w:p>
    <w:p w14:paraId="531D509B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（4）</w:t>
      </w:r>
      <w:r>
        <w:rPr>
          <w:rFonts w:ascii="仿宋" w:hAnsi="仿宋" w:eastAsia="仿宋" w:cs="宋体"/>
          <w:sz w:val="28"/>
          <w:szCs w:val="28"/>
        </w:rPr>
        <w:t>强化指导帮扶，分类精准施策</w:t>
      </w:r>
    </w:p>
    <w:p w14:paraId="4AD68D00">
      <w:pPr>
        <w:tabs>
          <w:tab w:val="left" w:pos="720"/>
        </w:tabs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搭建重点群体帮扶 “高速路”，建档 “重点群体” 毕业生，校系领导、教师结对，提供专属指导、服务、培训、推荐，走访贫困生问需求，配心理、就业导师辅导。</w:t>
      </w:r>
    </w:p>
    <w:p w14:paraId="0EB5723F">
      <w:pPr>
        <w:adjustRightInd w:val="0"/>
        <w:snapToGrid w:val="0"/>
        <w:spacing w:line="360" w:lineRule="auto"/>
        <w:ind w:firstLine="561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联动阜新市人社部门，为 220 名困难家庭毕业生争得 26.4 万元求职创业补贴。</w:t>
      </w:r>
    </w:p>
    <w:p w14:paraId="2EA94EC0">
      <w:pPr>
        <w:adjustRightInd w:val="0"/>
        <w:snapToGrid w:val="0"/>
        <w:spacing w:line="360" w:lineRule="auto"/>
        <w:ind w:firstLine="561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多元驱动就业，宣传征兵政策，组 “退役复学志愿服务队” 强体魄助参军；教学单位发力 “专升本” 辅导，助力升学梦圆。</w:t>
      </w:r>
    </w:p>
    <w:sectPr>
      <w:footerReference r:id="rId6" w:type="first"/>
      <w:footerReference r:id="rId5" w:type="default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1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D7305"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A210C">
    <w:pPr>
      <w:pStyle w:val="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A1442">
    <w:pPr>
      <w:pStyle w:val="5"/>
      <w:jc w:val="center"/>
      <w:rPr>
        <w:rFonts w:ascii="黑体" w:hAnsi="黑体" w:eastAsia="黑体" w:cs="黑体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12AA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C6"/>
    <w:rsid w:val="0001672A"/>
    <w:rsid w:val="000334CB"/>
    <w:rsid w:val="00045297"/>
    <w:rsid w:val="000576B6"/>
    <w:rsid w:val="0008012B"/>
    <w:rsid w:val="00094738"/>
    <w:rsid w:val="000A044B"/>
    <w:rsid w:val="000C080C"/>
    <w:rsid w:val="000C4812"/>
    <w:rsid w:val="00103311"/>
    <w:rsid w:val="001314BD"/>
    <w:rsid w:val="00133C25"/>
    <w:rsid w:val="00145F7E"/>
    <w:rsid w:val="001734C6"/>
    <w:rsid w:val="001843E7"/>
    <w:rsid w:val="001A0104"/>
    <w:rsid w:val="001A2D9D"/>
    <w:rsid w:val="001C5ECB"/>
    <w:rsid w:val="001C7340"/>
    <w:rsid w:val="001D3B0E"/>
    <w:rsid w:val="001D44A4"/>
    <w:rsid w:val="001E0127"/>
    <w:rsid w:val="001E135F"/>
    <w:rsid w:val="001E392F"/>
    <w:rsid w:val="001E70E5"/>
    <w:rsid w:val="002076C2"/>
    <w:rsid w:val="002229F8"/>
    <w:rsid w:val="00224E67"/>
    <w:rsid w:val="00233D13"/>
    <w:rsid w:val="002406AB"/>
    <w:rsid w:val="00287332"/>
    <w:rsid w:val="00293F0F"/>
    <w:rsid w:val="002B36E9"/>
    <w:rsid w:val="002C5B89"/>
    <w:rsid w:val="002D0276"/>
    <w:rsid w:val="002D5811"/>
    <w:rsid w:val="002E164B"/>
    <w:rsid w:val="00312F93"/>
    <w:rsid w:val="00324E0F"/>
    <w:rsid w:val="003545C6"/>
    <w:rsid w:val="003813CA"/>
    <w:rsid w:val="00381D74"/>
    <w:rsid w:val="003B71F5"/>
    <w:rsid w:val="003C5394"/>
    <w:rsid w:val="003C5AE2"/>
    <w:rsid w:val="003E45EB"/>
    <w:rsid w:val="003E7D62"/>
    <w:rsid w:val="003F60A4"/>
    <w:rsid w:val="004034E9"/>
    <w:rsid w:val="00412413"/>
    <w:rsid w:val="00413F70"/>
    <w:rsid w:val="004202D0"/>
    <w:rsid w:val="00421886"/>
    <w:rsid w:val="004221E3"/>
    <w:rsid w:val="004246B3"/>
    <w:rsid w:val="00430E9B"/>
    <w:rsid w:val="00435BB0"/>
    <w:rsid w:val="00447B29"/>
    <w:rsid w:val="00471C84"/>
    <w:rsid w:val="004B1B0A"/>
    <w:rsid w:val="004B52D4"/>
    <w:rsid w:val="004B57A2"/>
    <w:rsid w:val="004B6C62"/>
    <w:rsid w:val="004C420C"/>
    <w:rsid w:val="004F21DB"/>
    <w:rsid w:val="004F3301"/>
    <w:rsid w:val="00521B69"/>
    <w:rsid w:val="00532C77"/>
    <w:rsid w:val="005638A0"/>
    <w:rsid w:val="00570188"/>
    <w:rsid w:val="0058466F"/>
    <w:rsid w:val="00587407"/>
    <w:rsid w:val="00594FBB"/>
    <w:rsid w:val="005A0415"/>
    <w:rsid w:val="005A4C6D"/>
    <w:rsid w:val="005A6B21"/>
    <w:rsid w:val="005D0AF0"/>
    <w:rsid w:val="005F22EA"/>
    <w:rsid w:val="006020A1"/>
    <w:rsid w:val="006238A2"/>
    <w:rsid w:val="0063167B"/>
    <w:rsid w:val="006525FD"/>
    <w:rsid w:val="00655F84"/>
    <w:rsid w:val="00664ED4"/>
    <w:rsid w:val="006732A4"/>
    <w:rsid w:val="00687333"/>
    <w:rsid w:val="00687807"/>
    <w:rsid w:val="006937EF"/>
    <w:rsid w:val="006B289B"/>
    <w:rsid w:val="006C525D"/>
    <w:rsid w:val="006D58C6"/>
    <w:rsid w:val="006D5F59"/>
    <w:rsid w:val="006E24FE"/>
    <w:rsid w:val="006F2286"/>
    <w:rsid w:val="006F31B5"/>
    <w:rsid w:val="006F34DE"/>
    <w:rsid w:val="00700258"/>
    <w:rsid w:val="00717456"/>
    <w:rsid w:val="00726966"/>
    <w:rsid w:val="00743118"/>
    <w:rsid w:val="0075487B"/>
    <w:rsid w:val="007859E4"/>
    <w:rsid w:val="007905E7"/>
    <w:rsid w:val="00793BB2"/>
    <w:rsid w:val="00797F95"/>
    <w:rsid w:val="007A2269"/>
    <w:rsid w:val="007A6B24"/>
    <w:rsid w:val="007A7565"/>
    <w:rsid w:val="007B7406"/>
    <w:rsid w:val="007C28E4"/>
    <w:rsid w:val="007C2F14"/>
    <w:rsid w:val="007C48DD"/>
    <w:rsid w:val="007D26EE"/>
    <w:rsid w:val="007D5F77"/>
    <w:rsid w:val="007D6743"/>
    <w:rsid w:val="007F1418"/>
    <w:rsid w:val="0080196A"/>
    <w:rsid w:val="00815C20"/>
    <w:rsid w:val="0081619F"/>
    <w:rsid w:val="008215C1"/>
    <w:rsid w:val="008221A0"/>
    <w:rsid w:val="0082281C"/>
    <w:rsid w:val="00834FE7"/>
    <w:rsid w:val="00837B84"/>
    <w:rsid w:val="00837D2F"/>
    <w:rsid w:val="00862E22"/>
    <w:rsid w:val="00867688"/>
    <w:rsid w:val="00890C08"/>
    <w:rsid w:val="00891547"/>
    <w:rsid w:val="008B3987"/>
    <w:rsid w:val="008B76C4"/>
    <w:rsid w:val="008C44A1"/>
    <w:rsid w:val="008C4974"/>
    <w:rsid w:val="008E12D7"/>
    <w:rsid w:val="008E3CD4"/>
    <w:rsid w:val="008E7ACF"/>
    <w:rsid w:val="008F18BB"/>
    <w:rsid w:val="00900168"/>
    <w:rsid w:val="0090680A"/>
    <w:rsid w:val="009119F4"/>
    <w:rsid w:val="00915E15"/>
    <w:rsid w:val="0092272F"/>
    <w:rsid w:val="00927921"/>
    <w:rsid w:val="00946E46"/>
    <w:rsid w:val="00983ADA"/>
    <w:rsid w:val="0099235B"/>
    <w:rsid w:val="009A724B"/>
    <w:rsid w:val="009B35B8"/>
    <w:rsid w:val="009C6EEC"/>
    <w:rsid w:val="00A05E65"/>
    <w:rsid w:val="00A10866"/>
    <w:rsid w:val="00A1296F"/>
    <w:rsid w:val="00A1318A"/>
    <w:rsid w:val="00A1336A"/>
    <w:rsid w:val="00A2359E"/>
    <w:rsid w:val="00A32DD5"/>
    <w:rsid w:val="00A70721"/>
    <w:rsid w:val="00A84EAE"/>
    <w:rsid w:val="00A8728B"/>
    <w:rsid w:val="00A87654"/>
    <w:rsid w:val="00A94FB3"/>
    <w:rsid w:val="00AB2D84"/>
    <w:rsid w:val="00AB3961"/>
    <w:rsid w:val="00AB3E6F"/>
    <w:rsid w:val="00AD45D6"/>
    <w:rsid w:val="00AF1110"/>
    <w:rsid w:val="00AF11FB"/>
    <w:rsid w:val="00AF3490"/>
    <w:rsid w:val="00AF5C2D"/>
    <w:rsid w:val="00B17900"/>
    <w:rsid w:val="00B24720"/>
    <w:rsid w:val="00B44CD2"/>
    <w:rsid w:val="00B65EFE"/>
    <w:rsid w:val="00B7338B"/>
    <w:rsid w:val="00B94919"/>
    <w:rsid w:val="00BB1859"/>
    <w:rsid w:val="00BB4244"/>
    <w:rsid w:val="00BB7D20"/>
    <w:rsid w:val="00BD0C60"/>
    <w:rsid w:val="00BF54EC"/>
    <w:rsid w:val="00C022E7"/>
    <w:rsid w:val="00C050B0"/>
    <w:rsid w:val="00C15F1B"/>
    <w:rsid w:val="00C1603A"/>
    <w:rsid w:val="00C16774"/>
    <w:rsid w:val="00C21403"/>
    <w:rsid w:val="00C5450F"/>
    <w:rsid w:val="00C66A5E"/>
    <w:rsid w:val="00C67F6B"/>
    <w:rsid w:val="00CA7A90"/>
    <w:rsid w:val="00CB1FE3"/>
    <w:rsid w:val="00CB2B06"/>
    <w:rsid w:val="00CC0C29"/>
    <w:rsid w:val="00CC2C75"/>
    <w:rsid w:val="00CC3B1C"/>
    <w:rsid w:val="00CE0542"/>
    <w:rsid w:val="00CE410D"/>
    <w:rsid w:val="00D20FF1"/>
    <w:rsid w:val="00D27909"/>
    <w:rsid w:val="00D658D7"/>
    <w:rsid w:val="00D7417E"/>
    <w:rsid w:val="00DB3282"/>
    <w:rsid w:val="00DC012C"/>
    <w:rsid w:val="00DC0922"/>
    <w:rsid w:val="00DD1215"/>
    <w:rsid w:val="00DE14C7"/>
    <w:rsid w:val="00E01B3F"/>
    <w:rsid w:val="00E12BA2"/>
    <w:rsid w:val="00E176E5"/>
    <w:rsid w:val="00E21B89"/>
    <w:rsid w:val="00E36426"/>
    <w:rsid w:val="00E4444A"/>
    <w:rsid w:val="00E46153"/>
    <w:rsid w:val="00E543AF"/>
    <w:rsid w:val="00E80345"/>
    <w:rsid w:val="00EA40C2"/>
    <w:rsid w:val="00EB7E9A"/>
    <w:rsid w:val="00EC401F"/>
    <w:rsid w:val="00EC48A3"/>
    <w:rsid w:val="00ED1D12"/>
    <w:rsid w:val="00ED2542"/>
    <w:rsid w:val="00ED7116"/>
    <w:rsid w:val="00ED7D6B"/>
    <w:rsid w:val="00EE30C2"/>
    <w:rsid w:val="00EE74D0"/>
    <w:rsid w:val="00EF40DF"/>
    <w:rsid w:val="00F220A6"/>
    <w:rsid w:val="00F25E7E"/>
    <w:rsid w:val="00F373FA"/>
    <w:rsid w:val="00F516B8"/>
    <w:rsid w:val="00F569F9"/>
    <w:rsid w:val="00F67FDE"/>
    <w:rsid w:val="00F72602"/>
    <w:rsid w:val="00F727EF"/>
    <w:rsid w:val="00FC052A"/>
    <w:rsid w:val="00FC21CA"/>
    <w:rsid w:val="00FC37A8"/>
    <w:rsid w:val="00FE46FA"/>
    <w:rsid w:val="00FE5463"/>
    <w:rsid w:val="03955FF8"/>
    <w:rsid w:val="04BA415C"/>
    <w:rsid w:val="08402334"/>
    <w:rsid w:val="089C76AF"/>
    <w:rsid w:val="1C0E6FB4"/>
    <w:rsid w:val="3E1D4AF4"/>
    <w:rsid w:val="52E144DC"/>
    <w:rsid w:val="62194E46"/>
    <w:rsid w:val="62C53CAA"/>
    <w:rsid w:val="63B838B0"/>
    <w:rsid w:val="7063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autoRedefine/>
    <w:qFormat/>
    <w:uiPriority w:val="39"/>
    <w:pPr>
      <w:tabs>
        <w:tab w:val="right" w:leader="dot" w:pos="8302"/>
      </w:tabs>
      <w:spacing w:line="360" w:lineRule="auto"/>
    </w:pPr>
  </w:style>
  <w:style w:type="paragraph" w:styleId="8">
    <w:name w:val="Normal (Web)"/>
    <w:basedOn w:val="1"/>
    <w:uiPriority w:val="0"/>
    <w:rPr>
      <w:rFonts w:ascii="Times New Roman" w:hAnsi="Times New Roman" w:cs="Times New Roman"/>
      <w:sz w:val="24"/>
    </w:rPr>
  </w:style>
  <w:style w:type="table" w:styleId="10">
    <w:name w:val="Table Grid"/>
    <w:basedOn w:val="9"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uiPriority w:val="99"/>
    <w:pPr>
      <w:ind w:firstLine="420" w:firstLineChars="200"/>
    </w:pPr>
  </w:style>
  <w:style w:type="character" w:customStyle="1" w:styleId="14">
    <w:name w:val="标题 1 字符"/>
    <w:basedOn w:val="11"/>
    <w:link w:val="2"/>
    <w:uiPriority w:val="0"/>
    <w:rPr>
      <w:b/>
      <w:bCs/>
      <w:kern w:val="44"/>
      <w:sz w:val="44"/>
      <w:szCs w:val="44"/>
    </w:rPr>
  </w:style>
  <w:style w:type="character" w:customStyle="1" w:styleId="15">
    <w:name w:val="页眉 字符"/>
    <w:basedOn w:val="11"/>
    <w:link w:val="6"/>
    <w:uiPriority w:val="99"/>
    <w:rPr>
      <w:kern w:val="2"/>
      <w:sz w:val="18"/>
      <w:szCs w:val="24"/>
    </w:rPr>
  </w:style>
  <w:style w:type="character" w:customStyle="1" w:styleId="16">
    <w:name w:val="页脚 字符"/>
    <w:basedOn w:val="11"/>
    <w:link w:val="5"/>
    <w:uiPriority w:val="99"/>
    <w:rPr>
      <w:kern w:val="2"/>
      <w:sz w:val="18"/>
      <w:szCs w:val="24"/>
    </w:rPr>
  </w:style>
  <w:style w:type="character" w:customStyle="1" w:styleId="17">
    <w:name w:val="批注框文本 字符"/>
    <w:basedOn w:val="11"/>
    <w:link w:val="4"/>
    <w:uiPriority w:val="0"/>
    <w:rPr>
      <w:kern w:val="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chart" Target="charts/chart18.xml"/><Relationship Id="rId28" Type="http://schemas.openxmlformats.org/officeDocument/2006/relationships/chart" Target="charts/chart17.xml"/><Relationship Id="rId27" Type="http://schemas.openxmlformats.org/officeDocument/2006/relationships/chart" Target="charts/chart16.xml"/><Relationship Id="rId26" Type="http://schemas.openxmlformats.org/officeDocument/2006/relationships/chart" Target="charts/chart15.xml"/><Relationship Id="rId25" Type="http://schemas.openxmlformats.org/officeDocument/2006/relationships/chart" Target="charts/chart14.xml"/><Relationship Id="rId24" Type="http://schemas.openxmlformats.org/officeDocument/2006/relationships/chart" Target="charts/chart13.xml"/><Relationship Id="rId23" Type="http://schemas.openxmlformats.org/officeDocument/2006/relationships/chart" Target="charts/chart12.xml"/><Relationship Id="rId22" Type="http://schemas.openxmlformats.org/officeDocument/2006/relationships/chart" Target="charts/chart11.xml"/><Relationship Id="rId21" Type="http://schemas.openxmlformats.org/officeDocument/2006/relationships/chart" Target="charts/chart10.xml"/><Relationship Id="rId20" Type="http://schemas.openxmlformats.org/officeDocument/2006/relationships/chart" Target="charts/chart9.xml"/><Relationship Id="rId2" Type="http://schemas.openxmlformats.org/officeDocument/2006/relationships/settings" Target="settings.xml"/><Relationship Id="rId19" Type="http://schemas.openxmlformats.org/officeDocument/2006/relationships/chart" Target="charts/chart8.xml"/><Relationship Id="rId18" Type="http://schemas.openxmlformats.org/officeDocument/2006/relationships/chart" Target="charts/chart7.xml"/><Relationship Id="rId17" Type="http://schemas.openxmlformats.org/officeDocument/2006/relationships/chart" Target="charts/chart6.xml"/><Relationship Id="rId16" Type="http://schemas.openxmlformats.org/officeDocument/2006/relationships/chart" Target="charts/chart5.xml"/><Relationship Id="rId15" Type="http://schemas.openxmlformats.org/officeDocument/2006/relationships/chart" Target="charts/chart4.xml"/><Relationship Id="rId14" Type="http://schemas.openxmlformats.org/officeDocument/2006/relationships/chart" Target="charts/chart3.xml"/><Relationship Id="rId13" Type="http://schemas.openxmlformats.org/officeDocument/2006/relationships/chart" Target="charts/chart2.xml"/><Relationship Id="rId12" Type="http://schemas.openxmlformats.org/officeDocument/2006/relationships/image" Target="media/image4.png"/><Relationship Id="rId11" Type="http://schemas.openxmlformats.org/officeDocument/2006/relationships/chart" Target="charts/chart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2.xml"/><Relationship Id="rId1" Type="http://schemas.openxmlformats.org/officeDocument/2006/relationships/package" Target="../embeddings/Workbook7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3.xml"/><Relationship Id="rId1" Type="http://schemas.openxmlformats.org/officeDocument/2006/relationships/package" Target="../embeddings/Workbook8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9.xml"/><Relationship Id="rId1" Type="http://schemas.openxmlformats.org/officeDocument/2006/relationships/package" Target="../embeddings/Workbook14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4.xml"/><Relationship Id="rId1" Type="http://schemas.openxmlformats.org/officeDocument/2006/relationships/package" Target="../embeddings/Workbook9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5.xml"/><Relationship Id="rId1" Type="http://schemas.openxmlformats.org/officeDocument/2006/relationships/package" Target="../embeddings/Workbook10.xlsx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1.xml"/><Relationship Id="rId1" Type="http://schemas.openxmlformats.org/officeDocument/2006/relationships/package" Target="../embeddings/Workbook16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6.xml"/><Relationship Id="rId1" Type="http://schemas.openxmlformats.org/officeDocument/2006/relationships/package" Target="../embeddings/Workbook11.xlsx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7.xml"/><Relationship Id="rId1" Type="http://schemas.openxmlformats.org/officeDocument/2006/relationships/package" Target="../embeddings/Workbook12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0.xml"/><Relationship Id="rId1" Type="http://schemas.openxmlformats.org/officeDocument/2006/relationships/package" Target="../embeddings/Workbook15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8.xml"/><Relationship Id="rId1" Type="http://schemas.openxmlformats.org/officeDocument/2006/relationships/package" Target="../embeddings/Workbook13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3601;&#19994;&#36136;&#37327;&#25253;&#21578;&#65288;15-23&#65289;\2024&#24180;&#36136;&#37327;&#25253;&#21578;\2022&#23601;&#19994;&#36136;&#37327;&#25253;&#21578;&#20316;&#22270;&#25968;&#25454;&#65288;&#26377;&#22270;&#65289;\2024&#23626;&#22823;&#19987;&#27605;&#19994;&#29983;&#65288;&#23601;&#19994;&#34892;&#19994;&#27969;&#21521;&#65289;-5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&#23601;&#19994;&#36136;&#37327;&#25253;&#21578;&#65288;15-23&#65289;\2024&#24180;&#36136;&#37327;&#25253;&#21578;\2022&#23601;&#19994;&#36136;&#37327;&#25253;&#21578;&#20316;&#22270;&#25968;&#25454;&#65288;&#26377;&#22270;&#65289;\2024&#23626;&#22823;&#19987;&#27605;&#19994;&#29983;&#65288;&#21319;&#23398;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/>
              <a:t>民族结构</a:t>
            </a:r>
            <a:endParaRPr lang="zh-CN" altLang="en-US" sz="12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Sheet1!$A$2:$A$22</c:f>
              <c:strCache>
                <c:ptCount val="21"/>
                <c:pt idx="0">
                  <c:v>白族</c:v>
                </c:pt>
                <c:pt idx="1">
                  <c:v>布依族</c:v>
                </c:pt>
                <c:pt idx="2">
                  <c:v>藏族</c:v>
                </c:pt>
                <c:pt idx="3">
                  <c:v>朝鲜族</c:v>
                </c:pt>
                <c:pt idx="4">
                  <c:v>侗族</c:v>
                </c:pt>
                <c:pt idx="5">
                  <c:v>哈萨克族</c:v>
                </c:pt>
                <c:pt idx="6">
                  <c:v>汉族</c:v>
                </c:pt>
                <c:pt idx="7">
                  <c:v>回族</c:v>
                </c:pt>
                <c:pt idx="8">
                  <c:v>满族</c:v>
                </c:pt>
                <c:pt idx="9">
                  <c:v>毛南族</c:v>
                </c:pt>
                <c:pt idx="10">
                  <c:v>蒙古族</c:v>
                </c:pt>
                <c:pt idx="11">
                  <c:v>苗族</c:v>
                </c:pt>
                <c:pt idx="12">
                  <c:v>土家族</c:v>
                </c:pt>
                <c:pt idx="13">
                  <c:v>土族</c:v>
                </c:pt>
                <c:pt idx="14">
                  <c:v>维吾尔族</c:v>
                </c:pt>
                <c:pt idx="15">
                  <c:v>锡伯族</c:v>
                </c:pt>
                <c:pt idx="16">
                  <c:v>瑶族</c:v>
                </c:pt>
                <c:pt idx="17">
                  <c:v>彝族</c:v>
                </c:pt>
                <c:pt idx="18">
                  <c:v>仡佬族</c:v>
                </c:pt>
                <c:pt idx="19">
                  <c:v>壮族</c:v>
                </c:pt>
                <c:pt idx="20">
                  <c:v>其他</c:v>
                </c:pt>
              </c:strCache>
            </c:strRef>
          </c:cat>
          <c:val>
            <c:numRef>
              <c:f>Sheet1!$B$2:$B$22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14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1580</c:v>
                </c:pt>
                <c:pt idx="7">
                  <c:v>14</c:v>
                </c:pt>
                <c:pt idx="8">
                  <c:v>230</c:v>
                </c:pt>
                <c:pt idx="9">
                  <c:v>1</c:v>
                </c:pt>
                <c:pt idx="10">
                  <c:v>121</c:v>
                </c:pt>
                <c:pt idx="11">
                  <c:v>2</c:v>
                </c:pt>
                <c:pt idx="12">
                  <c:v>3</c:v>
                </c:pt>
                <c:pt idx="13">
                  <c:v>2</c:v>
                </c:pt>
                <c:pt idx="14">
                  <c:v>24</c:v>
                </c:pt>
                <c:pt idx="15">
                  <c:v>5</c:v>
                </c:pt>
                <c:pt idx="16">
                  <c:v>3</c:v>
                </c:pt>
                <c:pt idx="17">
                  <c:v>17</c:v>
                </c:pt>
                <c:pt idx="18">
                  <c:v>4</c:v>
                </c:pt>
                <c:pt idx="19">
                  <c:v>24</c:v>
                </c:pt>
                <c:pt idx="2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161280"/>
        <c:axId val="234162816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比例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Sheet1!$A$2:$A$22</c:f>
              <c:strCache>
                <c:ptCount val="21"/>
                <c:pt idx="0">
                  <c:v>白族</c:v>
                </c:pt>
                <c:pt idx="1">
                  <c:v>布依族</c:v>
                </c:pt>
                <c:pt idx="2">
                  <c:v>藏族</c:v>
                </c:pt>
                <c:pt idx="3">
                  <c:v>朝鲜族</c:v>
                </c:pt>
                <c:pt idx="4">
                  <c:v>侗族</c:v>
                </c:pt>
                <c:pt idx="5">
                  <c:v>哈萨克族</c:v>
                </c:pt>
                <c:pt idx="6">
                  <c:v>汉族</c:v>
                </c:pt>
                <c:pt idx="7">
                  <c:v>回族</c:v>
                </c:pt>
                <c:pt idx="8">
                  <c:v>满族</c:v>
                </c:pt>
                <c:pt idx="9">
                  <c:v>毛南族</c:v>
                </c:pt>
                <c:pt idx="10">
                  <c:v>蒙古族</c:v>
                </c:pt>
                <c:pt idx="11">
                  <c:v>苗族</c:v>
                </c:pt>
                <c:pt idx="12">
                  <c:v>土家族</c:v>
                </c:pt>
                <c:pt idx="13">
                  <c:v>土族</c:v>
                </c:pt>
                <c:pt idx="14">
                  <c:v>维吾尔族</c:v>
                </c:pt>
                <c:pt idx="15">
                  <c:v>锡伯族</c:v>
                </c:pt>
                <c:pt idx="16">
                  <c:v>瑶族</c:v>
                </c:pt>
                <c:pt idx="17">
                  <c:v>彝族</c:v>
                </c:pt>
                <c:pt idx="18">
                  <c:v>仡佬族</c:v>
                </c:pt>
                <c:pt idx="19">
                  <c:v>壮族</c:v>
                </c:pt>
                <c:pt idx="20">
                  <c:v>其他</c:v>
                </c:pt>
              </c:strCache>
            </c:strRef>
          </c:cat>
          <c:val>
            <c:numRef>
              <c:f>Sheet1!$C$2:$C$22</c:f>
              <c:numCache>
                <c:formatCode>0.00%</c:formatCode>
                <c:ptCount val="21"/>
                <c:pt idx="0">
                  <c:v>0.000486144871171609</c:v>
                </c:pt>
                <c:pt idx="1">
                  <c:v>0.000972289742343218</c:v>
                </c:pt>
                <c:pt idx="2">
                  <c:v>0.00680602819640253</c:v>
                </c:pt>
                <c:pt idx="3">
                  <c:v>0.00194457948468644</c:v>
                </c:pt>
                <c:pt idx="4">
                  <c:v>0.000972289742343218</c:v>
                </c:pt>
                <c:pt idx="5">
                  <c:v>0.000486144871171609</c:v>
                </c:pt>
                <c:pt idx="6">
                  <c:v>0.768108896451142</c:v>
                </c:pt>
                <c:pt idx="7">
                  <c:v>0.00680602819640253</c:v>
                </c:pt>
                <c:pt idx="8">
                  <c:v>0.11181332036947</c:v>
                </c:pt>
                <c:pt idx="9">
                  <c:v>0.000486144871171609</c:v>
                </c:pt>
                <c:pt idx="10">
                  <c:v>0.0588235294117647</c:v>
                </c:pt>
                <c:pt idx="11">
                  <c:v>0.000972289742343218</c:v>
                </c:pt>
                <c:pt idx="12">
                  <c:v>0.00145843461351483</c:v>
                </c:pt>
                <c:pt idx="13">
                  <c:v>0.000972289742343218</c:v>
                </c:pt>
                <c:pt idx="14">
                  <c:v>0.0116674769081186</c:v>
                </c:pt>
                <c:pt idx="15">
                  <c:v>0.00243072435585805</c:v>
                </c:pt>
                <c:pt idx="16">
                  <c:v>0.00145843461351483</c:v>
                </c:pt>
                <c:pt idx="17">
                  <c:v>0.00826446280991736</c:v>
                </c:pt>
                <c:pt idx="18">
                  <c:v>0.00194457948468644</c:v>
                </c:pt>
                <c:pt idx="19">
                  <c:v>0.0116674769081186</c:v>
                </c:pt>
                <c:pt idx="20">
                  <c:v>0.00145843461351483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35987328"/>
        <c:axId val="235988864"/>
      </c:lineChart>
      <c:catAx>
        <c:axId val="23416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4162816"/>
        <c:crosses val="autoZero"/>
        <c:auto val="1"/>
        <c:lblAlgn val="ctr"/>
        <c:lblOffset val="100"/>
        <c:noMultiLvlLbl val="0"/>
      </c:catAx>
      <c:valAx>
        <c:axId val="23416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4161280"/>
        <c:crosses val="autoZero"/>
        <c:crossBetween val="between"/>
      </c:valAx>
      <c:catAx>
        <c:axId val="2359873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35988864"/>
        <c:crosses val="autoZero"/>
        <c:auto val="1"/>
        <c:lblAlgn val="ctr"/>
        <c:lblOffset val="100"/>
        <c:noMultiLvlLbl val="0"/>
      </c:catAx>
      <c:valAx>
        <c:axId val="235988864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598732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cbac13a-02b2-499d-842d-77ef39b6b2ac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algn="l">
              <a:defRPr lang="zh-CN" sz="20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>
                <a:latin typeface="+mn-ea"/>
                <a:ea typeface="+mn-ea"/>
              </a:rPr>
              <a:t>未就业情况分析</a:t>
            </a:r>
            <a:endParaRPr lang="zh-CN" altLang="en-US" sz="1200">
              <a:latin typeface="+mn-ea"/>
              <a:ea typeface="+mn-ea"/>
            </a:endParaRPr>
          </a:p>
        </c:rich>
      </c:tx>
      <c:layout>
        <c:manualLayout>
          <c:xMode val="edge"/>
          <c:yMode val="edge"/>
          <c:x val="0.32589627837575"/>
          <c:y val="0.00418858305536015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0802044565206992"/>
          <c:y val="0.145957499620779"/>
          <c:w val="0.887393761381285"/>
          <c:h val="0.449051486777813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Lbls>
            <c:dLbl>
              <c:idx val="0"/>
              <c:layout>
                <c:manualLayout>
                  <c:x val="0.00136655153828736"/>
                  <c:y val="-0.23044291968302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12450448554198"/>
                  <c:y val="-0.19512823612979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238928359462168"/>
                  <c:y val="-0.2266672420746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0780066525706158"/>
                  <c:y val="-0.229763578017239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139828716931693"/>
                  <c:y val="-0.25945918143517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1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Sheet1!$M$3:$Q$3</c:f>
              <c:strCache>
                <c:ptCount val="5"/>
                <c:pt idx="0">
                  <c:v>不就业拟升学</c:v>
                </c:pt>
                <c:pt idx="1">
                  <c:v>拟参加公招考试</c:v>
                </c:pt>
                <c:pt idx="2">
                  <c:v>拟应征入伍</c:v>
                </c:pt>
                <c:pt idx="3">
                  <c:v>签约中</c:v>
                </c:pt>
                <c:pt idx="4">
                  <c:v>求职中</c:v>
                </c:pt>
              </c:strCache>
            </c:strRef>
          </c:cat>
          <c:val>
            <c:numRef>
              <c:f>Sheet1!$M$4:$Q$4</c:f>
              <c:numCache>
                <c:formatCode>0.00%</c:formatCode>
                <c:ptCount val="5"/>
                <c:pt idx="0">
                  <c:v>0.0441176470588235</c:v>
                </c:pt>
                <c:pt idx="1">
                  <c:v>0.00294117647058824</c:v>
                </c:pt>
                <c:pt idx="2">
                  <c:v>0.0117647058823529</c:v>
                </c:pt>
                <c:pt idx="3">
                  <c:v>0.00294117647058824</c:v>
                </c:pt>
                <c:pt idx="4">
                  <c:v>0.938235294117647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67222144"/>
        <c:axId val="367228032"/>
      </c:barChart>
      <c:catAx>
        <c:axId val="36722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7228032"/>
        <c:crosses val="autoZero"/>
        <c:auto val="1"/>
        <c:lblAlgn val="ctr"/>
        <c:lblOffset val="100"/>
        <c:noMultiLvlLbl val="0"/>
      </c:catAx>
      <c:valAx>
        <c:axId val="36722803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7222144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a1a6e285-10c3-4242-8f1e-074e7c1c938d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5442334414081"/>
          <c:y val="0.137228174347059"/>
          <c:w val="0.470692836189594"/>
          <c:h val="0.699609024281801"/>
        </c:manualLayout>
      </c:layout>
      <c:doughnutChart>
        <c:varyColors val="1"/>
        <c:ser>
          <c:idx val="0"/>
          <c:order val="0"/>
          <c:explosion val="27"/>
          <c:dPt>
            <c:idx val="0"/>
            <c:bubble3D val="0"/>
          </c:dPt>
          <c:dPt>
            <c:idx val="1"/>
            <c:bubble3D val="0"/>
          </c:dPt>
          <c:dLbls>
            <c:dLbl>
              <c:idx val="0"/>
              <c:layout>
                <c:manualLayout>
                  <c:x val="0.166382252559727"/>
                  <c:y val="0.0038501026694045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5051194539249"/>
                  <c:y val="-0.11165297741273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Sheet3!$J$10:$K$10</c:f>
              <c:strCache>
                <c:ptCount val="2"/>
                <c:pt idx="0">
                  <c:v>对口</c:v>
                </c:pt>
                <c:pt idx="1">
                  <c:v>不对口</c:v>
                </c:pt>
              </c:strCache>
            </c:strRef>
          </c:cat>
          <c:val>
            <c:numRef>
              <c:f>Sheet3!$J$11:$K$11</c:f>
              <c:numCache>
                <c:formatCode>0.00%</c:formatCode>
                <c:ptCount val="2"/>
                <c:pt idx="0">
                  <c:v>0.7443</c:v>
                </c:pt>
                <c:pt idx="1">
                  <c:v>0.2557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0"/>
      </c:doughnut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19000050366838"/>
          <c:y val="0.40925015142338"/>
          <c:w val="0.119061833688699"/>
          <c:h val="0.15495336159903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92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231dbd2-d34b-419b-a11e-6558abe2f9eb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>
                <a:latin typeface="+mn-ea"/>
                <a:ea typeface="+mn-ea"/>
              </a:rPr>
              <a:t>满意度</a:t>
            </a:r>
            <a:endParaRPr lang="zh-CN" altLang="en-US" sz="1200">
              <a:latin typeface="+mn-ea"/>
              <a:ea typeface="+mn-ea"/>
            </a:endParaRPr>
          </a:p>
        </c:rich>
      </c:tx>
      <c:layout/>
      <c:overlay val="0"/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满意度</c:f>
              <c:strCache>
                <c:ptCount val="1"/>
                <c:pt idx="0">
                  <c:v>满意度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dLbls>
            <c:delete val="1"/>
          </c:dLbls>
          <c:cat>
            <c:strRef>
              <c:f>Sheet1!$M$4:$O$4</c:f>
              <c:strCache>
                <c:ptCount val="3"/>
                <c:pt idx="0">
                  <c:v>非常满意</c:v>
                </c:pt>
                <c:pt idx="1">
                  <c:v>一般满意</c:v>
                </c:pt>
                <c:pt idx="2">
                  <c:v>不满意</c:v>
                </c:pt>
              </c:strCache>
            </c:strRef>
          </c:cat>
          <c:val>
            <c:numRef>
              <c:f>Sheet1!$M$5:$O$5</c:f>
              <c:numCache>
                <c:formatCode>0.00%</c:formatCode>
                <c:ptCount val="3"/>
                <c:pt idx="0">
                  <c:v>0.959813628421666</c:v>
                </c:pt>
                <c:pt idx="1">
                  <c:v>0.0396039603960396</c:v>
                </c:pt>
                <c:pt idx="2">
                  <c:v>0.0005824111822947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1192064"/>
        <c:axId val="381193600"/>
      </c:areaChart>
      <c:catAx>
        <c:axId val="381192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81193600"/>
        <c:crosses val="autoZero"/>
        <c:auto val="1"/>
        <c:lblAlgn val="ctr"/>
        <c:lblOffset val="100"/>
        <c:noMultiLvlLbl val="0"/>
      </c:catAx>
      <c:valAx>
        <c:axId val="38119360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81192064"/>
        <c:crosses val="autoZero"/>
        <c:crossBetween val="midCat"/>
      </c:valAx>
      <c:dTable>
        <c:showHorzBorder val="1"/>
        <c:showVertBorder val="1"/>
        <c:showOutline val="1"/>
        <c:showKeys val="1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</c:dTable>
    </c:plotArea>
    <c:plotVisOnly val="1"/>
    <c:dispBlanksAs val="zero"/>
    <c:showDLblsOverMax val="0"/>
    <c:extLst>
      <c:ext uri="{0b15fc19-7d7d-44ad-8c2d-2c3a37ce22c3}">
        <chartProps xmlns="https://web.wps.cn/et/2018/main" chartId="{6301a32e-b535-4128-95d7-f8e401cc25cb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>
                <a:latin typeface="+mn-ea"/>
                <a:ea typeface="+mn-ea"/>
              </a:rPr>
              <a:t>对母校满意度</a:t>
            </a:r>
            <a:endParaRPr lang="zh-CN" altLang="en-US" sz="1200">
              <a:latin typeface="+mn-ea"/>
              <a:ea typeface="+mn-ea"/>
            </a:endParaRPr>
          </a:p>
        </c:rich>
      </c:tx>
      <c:layout>
        <c:manualLayout>
          <c:xMode val="edge"/>
          <c:yMode val="edge"/>
          <c:x val="0.397523856029624"/>
          <c:y val="0.036488028282179"/>
        </c:manualLayout>
      </c:layout>
      <c:overlay val="0"/>
    </c:title>
    <c:autoTitleDeleted val="0"/>
    <c:view3D>
      <c:rotX val="75"/>
      <c:rotY val="0"/>
      <c:depthPercent val="1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18357594599568"/>
          <c:y val="0.111167837891231"/>
          <c:w val="0.981642455983325"/>
          <c:h val="0.856574012585776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70"/>
            <c:spPr>
              <a:solidFill>
                <a:srgbClr val="0070C0"/>
              </a:solidFill>
            </c:spPr>
          </c:dPt>
          <c:dPt>
            <c:idx val="1"/>
            <c:bubble3D val="0"/>
            <c:explosion val="19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Lbls>
            <c:dLbl>
              <c:idx val="0"/>
              <c:layout>
                <c:manualLayout>
                  <c:x val="-0.0637306112079116"/>
                  <c:y val="-0.139775443105945"/>
                </c:manualLayout>
              </c:layout>
              <c:numFmt formatCode="General" sourceLinked="1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1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213509731721353"/>
                  <c:y val="0.026204349003713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fld id="{9bfbd4a1-a9d3-4cec-880f-6f788622ade3}" type="CATEGORYNAME">
                      <a:t>[CATEGORY NAME]</a:t>
                    </a:fld>
                    <a:r>
                      <a:t>,</a:t>
                    </a:r>
                    <a:fld id="{9fd2feec-b483-4ed9-a95a-7aacfb74f601}" type="VALUE">
                      <a:t>[VALUE]</a:t>
                    </a:fld>
                    <a:endParaRPr lang="zh-CN" altLang="en-US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numFmt formatCode="General" sourceLinked="1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1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65918592538221"/>
                  <c:y val="0.0332396945979623"/>
                </c:manualLayout>
              </c:layout>
              <c:numFmt formatCode="General" sourceLinked="1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1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100" b="1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3175" cap="flat" cmpd="sng" algn="ctr">
                      <a:solidFill>
                        <a:srgbClr val="000000"/>
                      </a:solidFill>
                      <a:prstDash val="solid"/>
                      <a:round/>
                    </a:ln>
                  </c:spPr>
                </c15:leaderLines>
              </c:ext>
            </c:extLst>
          </c:dLbls>
          <c:cat>
            <c:strRef>
              <c:f>Sheet1!$M$4:$O$4</c:f>
              <c:strCache>
                <c:ptCount val="3"/>
                <c:pt idx="0">
                  <c:v>非常满意</c:v>
                </c:pt>
                <c:pt idx="1">
                  <c:v>基本满意</c:v>
                </c:pt>
                <c:pt idx="2">
                  <c:v>不满意</c:v>
                </c:pt>
              </c:strCache>
            </c:strRef>
          </c:cat>
          <c:val>
            <c:numRef>
              <c:f>Sheet1!$M$5:$O$5</c:f>
              <c:numCache>
                <c:formatCode>0.00%</c:formatCode>
                <c:ptCount val="3"/>
                <c:pt idx="0">
                  <c:v>0.839086047642197</c:v>
                </c:pt>
                <c:pt idx="1">
                  <c:v>0.0220812117800578</c:v>
                </c:pt>
                <c:pt idx="2">
                  <c:v>0.0102090422946038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noFill/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592669d6-4cb9-423d-a26c-fdbd2753b913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>
                <a:latin typeface="+mn-ea"/>
                <a:ea typeface="+mn-ea"/>
              </a:rPr>
              <a:t>求职途经分析</a:t>
            </a:r>
            <a:endParaRPr lang="zh-CN" altLang="en-US" sz="1200">
              <a:latin typeface="+mn-ea"/>
              <a:ea typeface="+mn-ea"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0865083154651435"/>
          <c:y val="0.126126126126126"/>
          <c:w val="0.894422271872766"/>
          <c:h val="0.422545713490595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effectLst/>
            </c:spPr>
          </c:dPt>
          <c:dLbls>
            <c:dLbl>
              <c:idx val="0"/>
              <c:layout>
                <c:manualLayout>
                  <c:x val="0.00493845822949991"/>
                  <c:y val="-0.209227395638545"/>
                </c:manualLayout>
              </c:layout>
              <c:numFmt formatCode="General" sourceLinked="1"/>
              <c:spPr>
                <a:noFill/>
                <a:ln w="25400"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1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0.13101516150296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281531531531532"/>
                  <c:y val="-0.086519446275543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293178869882644"/>
                  <c:y val="-0.13426188393117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0140765765765766"/>
                  <c:y val="-0.096407382992748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00703828828828829"/>
                  <c:y val="-0.096407382992748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00140765765765765"/>
                  <c:y val="-0.0395517468688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0231740428998099"/>
                  <c:y val="-0.046956352678137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100" b="1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Sheet3!$H$37:$O$37</c:f>
              <c:strCache>
                <c:ptCount val="8"/>
                <c:pt idx="0">
                  <c:v>本校就业中心网站或招聘会</c:v>
                </c:pt>
                <c:pt idx="1">
                  <c:v>其他院校网站或招聘会</c:v>
                </c:pt>
                <c:pt idx="2">
                  <c:v>媒体招聘信息</c:v>
                </c:pt>
                <c:pt idx="3">
                  <c:v>他人介绍</c:v>
                </c:pt>
                <c:pt idx="4">
                  <c:v>自主创业</c:v>
                </c:pt>
                <c:pt idx="5">
                  <c:v>人才市场</c:v>
                </c:pt>
                <c:pt idx="6">
                  <c:v>网络签约</c:v>
                </c:pt>
                <c:pt idx="7">
                  <c:v>政府举办招聘会</c:v>
                </c:pt>
              </c:strCache>
            </c:strRef>
          </c:cat>
          <c:val>
            <c:numRef>
              <c:f>Sheet3!$H$38:$O$38</c:f>
              <c:numCache>
                <c:formatCode>0.00%</c:formatCode>
                <c:ptCount val="8"/>
                <c:pt idx="0">
                  <c:v>0.446275071633238</c:v>
                </c:pt>
                <c:pt idx="1">
                  <c:v>0.148997134670487</c:v>
                </c:pt>
                <c:pt idx="2">
                  <c:v>0.0358166189111748</c:v>
                </c:pt>
                <c:pt idx="3">
                  <c:v>0.230659025787966</c:v>
                </c:pt>
                <c:pt idx="4">
                  <c:v>0.00573065902578797</c:v>
                </c:pt>
                <c:pt idx="5">
                  <c:v>0.0494269340974212</c:v>
                </c:pt>
                <c:pt idx="6">
                  <c:v>0.0164756446991404</c:v>
                </c:pt>
                <c:pt idx="7">
                  <c:v>0.0666189111747851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81216256"/>
        <c:axId val="381217792"/>
      </c:barChart>
      <c:catAx>
        <c:axId val="38121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54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81217792"/>
        <c:crosses val="autoZero"/>
        <c:auto val="1"/>
        <c:lblAlgn val="ctr"/>
        <c:lblOffset val="100"/>
        <c:noMultiLvlLbl val="0"/>
      </c:catAx>
      <c:valAx>
        <c:axId val="381217792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81216256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ee8c8fa6-89ea-406c-b184-2d1de74edf1d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/>
              <a:t>专业课的评价</a:t>
            </a:r>
            <a:endParaRPr lang="zh-CN" altLang="en-US" sz="12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Sheet1!$A$3:$A$6</c:f>
              <c:strCache>
                <c:ptCount val="4"/>
                <c:pt idx="0">
                  <c:v>价值很大</c:v>
                </c:pt>
                <c:pt idx="1">
                  <c:v>价值较大</c:v>
                </c:pt>
                <c:pt idx="2">
                  <c:v>价值一般</c:v>
                </c:pt>
                <c:pt idx="3">
                  <c:v>价值不大</c:v>
                </c:pt>
              </c:strCache>
            </c:strRef>
          </c:cat>
          <c:val>
            <c:numRef>
              <c:f>Sheet1!$B$3:$B$6</c:f>
              <c:numCache>
                <c:formatCode>General</c:formatCode>
                <c:ptCount val="4"/>
                <c:pt idx="0">
                  <c:v>1718</c:v>
                </c:pt>
                <c:pt idx="1">
                  <c:v>296</c:v>
                </c:pt>
                <c:pt idx="2">
                  <c:v>42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897984"/>
        <c:axId val="255899520"/>
      </c:barChart>
      <c:lineChart>
        <c:grouping val="standard"/>
        <c:varyColors val="0"/>
        <c:ser>
          <c:idx val="1"/>
          <c:order val="1"/>
          <c:tx>
            <c:strRef>
              <c:f>Sheet1!$C$2</c:f>
              <c:strCache>
                <c:ptCount val="1"/>
                <c:pt idx="0">
                  <c:v>百分比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Sheet1!$A$3:$A$6</c:f>
              <c:strCache>
                <c:ptCount val="4"/>
                <c:pt idx="0">
                  <c:v>价值很大</c:v>
                </c:pt>
                <c:pt idx="1">
                  <c:v>价值较大</c:v>
                </c:pt>
                <c:pt idx="2">
                  <c:v>价值一般</c:v>
                </c:pt>
                <c:pt idx="3">
                  <c:v>价值不大</c:v>
                </c:pt>
              </c:strCache>
            </c:strRef>
          </c:cat>
          <c:val>
            <c:numRef>
              <c:f>Sheet1!$C$3:$C$6</c:f>
              <c:numCache>
                <c:formatCode>0.00%</c:formatCode>
                <c:ptCount val="4"/>
                <c:pt idx="0">
                  <c:v>0.835196888672824</c:v>
                </c:pt>
                <c:pt idx="1">
                  <c:v>0.143898881866796</c:v>
                </c:pt>
                <c:pt idx="2">
                  <c:v>0.0204180845892076</c:v>
                </c:pt>
                <c:pt idx="3">
                  <c:v>0.000486144871171609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55901056"/>
        <c:axId val="255911040"/>
      </c:lineChart>
      <c:catAx>
        <c:axId val="25589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5899520"/>
        <c:crosses val="autoZero"/>
        <c:auto val="1"/>
        <c:lblAlgn val="ctr"/>
        <c:lblOffset val="100"/>
        <c:noMultiLvlLbl val="0"/>
      </c:catAx>
      <c:valAx>
        <c:axId val="25589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5897984"/>
        <c:crosses val="autoZero"/>
        <c:crossBetween val="between"/>
      </c:valAx>
      <c:catAx>
        <c:axId val="2559010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5911040"/>
        <c:crosses val="autoZero"/>
        <c:auto val="1"/>
        <c:lblAlgn val="ctr"/>
        <c:lblOffset val="100"/>
        <c:noMultiLvlLbl val="0"/>
      </c:catAx>
      <c:valAx>
        <c:axId val="255911040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5901056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1155229-dfc3-43b5-b838-50b14de8f8ba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/>
              <a:t>专业课掌握情况</a:t>
            </a:r>
            <a:endParaRPr lang="zh-CN" altLang="en-US" sz="12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Sheet1!$B$21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Sheet1!$A$22:$A$25</c:f>
              <c:strCache>
                <c:ptCount val="4"/>
                <c:pt idx="0">
                  <c:v>掌握很好</c:v>
                </c:pt>
                <c:pt idx="1">
                  <c:v>掌握较好</c:v>
                </c:pt>
                <c:pt idx="2">
                  <c:v>掌握一般</c:v>
                </c:pt>
                <c:pt idx="3">
                  <c:v>没掌握</c:v>
                </c:pt>
              </c:strCache>
            </c:strRef>
          </c:cat>
          <c:val>
            <c:numRef>
              <c:f>Sheet1!$B$22:$B$25</c:f>
              <c:numCache>
                <c:formatCode>General</c:formatCode>
                <c:ptCount val="4"/>
                <c:pt idx="0">
                  <c:v>1446</c:v>
                </c:pt>
                <c:pt idx="1">
                  <c:v>602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323968"/>
        <c:axId val="256325504"/>
      </c:barChart>
      <c:lineChart>
        <c:grouping val="standard"/>
        <c:varyColors val="0"/>
        <c:ser>
          <c:idx val="1"/>
          <c:order val="1"/>
          <c:tx>
            <c:strRef>
              <c:f>Sheet1!$C$21</c:f>
              <c:strCache>
                <c:ptCount val="1"/>
                <c:pt idx="0">
                  <c:v>百分比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Sheet1!$A$22:$A$25</c:f>
              <c:strCache>
                <c:ptCount val="4"/>
                <c:pt idx="0">
                  <c:v>掌握很好</c:v>
                </c:pt>
                <c:pt idx="1">
                  <c:v>掌握较好</c:v>
                </c:pt>
                <c:pt idx="2">
                  <c:v>掌握一般</c:v>
                </c:pt>
                <c:pt idx="3">
                  <c:v>没掌握</c:v>
                </c:pt>
              </c:strCache>
            </c:strRef>
          </c:cat>
          <c:val>
            <c:numRef>
              <c:f>Sheet1!$C$22:$C$25</c:f>
              <c:numCache>
                <c:formatCode>0.00%</c:formatCode>
                <c:ptCount val="4"/>
                <c:pt idx="0">
                  <c:v>0.702965483714147</c:v>
                </c:pt>
                <c:pt idx="1">
                  <c:v>0.292659212445309</c:v>
                </c:pt>
                <c:pt idx="2">
                  <c:v>0.00437530384054448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56327040"/>
        <c:axId val="256337024"/>
      </c:lineChart>
      <c:catAx>
        <c:axId val="25632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25504"/>
        <c:crosses val="autoZero"/>
        <c:auto val="1"/>
        <c:lblAlgn val="ctr"/>
        <c:lblOffset val="100"/>
        <c:noMultiLvlLbl val="0"/>
      </c:catAx>
      <c:valAx>
        <c:axId val="25632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23968"/>
        <c:crosses val="autoZero"/>
        <c:crossBetween val="between"/>
      </c:valAx>
      <c:catAx>
        <c:axId val="2563270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6337024"/>
        <c:crosses val="autoZero"/>
        <c:auto val="1"/>
        <c:lblAlgn val="ctr"/>
        <c:lblOffset val="100"/>
        <c:noMultiLvlLbl val="0"/>
      </c:catAx>
      <c:valAx>
        <c:axId val="256337024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270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05624e3-9ddc-4048-8bd6-72d4c3f9ad28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/>
              <a:t>实践教学活动安排</a:t>
            </a:r>
            <a:endParaRPr lang="zh-CN" altLang="en-US" sz="12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Sheet1!$B$39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Sheet1!$A$40:$A$43</c:f>
              <c:strCache>
                <c:ptCount val="4"/>
                <c:pt idx="0">
                  <c:v>安排很好</c:v>
                </c:pt>
                <c:pt idx="1">
                  <c:v>安排较好</c:v>
                </c:pt>
                <c:pt idx="2">
                  <c:v>安排一般</c:v>
                </c:pt>
                <c:pt idx="3">
                  <c:v>安排不好</c:v>
                </c:pt>
              </c:strCache>
            </c:strRef>
          </c:cat>
          <c:val>
            <c:numRef>
              <c:f>Sheet1!$B$40:$B$43</c:f>
              <c:numCache>
                <c:formatCode>General</c:formatCode>
                <c:ptCount val="4"/>
                <c:pt idx="0">
                  <c:v>1531</c:v>
                </c:pt>
                <c:pt idx="1">
                  <c:v>521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328064"/>
        <c:axId val="256329600"/>
      </c:barChart>
      <c:lineChart>
        <c:grouping val="standard"/>
        <c:varyColors val="0"/>
        <c:ser>
          <c:idx val="1"/>
          <c:order val="1"/>
          <c:tx>
            <c:strRef>
              <c:f>Sheet1!$C$39</c:f>
              <c:strCache>
                <c:ptCount val="1"/>
                <c:pt idx="0">
                  <c:v>百分比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Sheet1!$A$40:$A$43</c:f>
              <c:strCache>
                <c:ptCount val="4"/>
                <c:pt idx="0">
                  <c:v>安排很好</c:v>
                </c:pt>
                <c:pt idx="1">
                  <c:v>安排较好</c:v>
                </c:pt>
                <c:pt idx="2">
                  <c:v>安排一般</c:v>
                </c:pt>
                <c:pt idx="3">
                  <c:v>安排不好</c:v>
                </c:pt>
              </c:strCache>
            </c:strRef>
          </c:cat>
          <c:val>
            <c:numRef>
              <c:f>Sheet1!$C$40:$C$43</c:f>
              <c:numCache>
                <c:formatCode>0.00%</c:formatCode>
                <c:ptCount val="4"/>
                <c:pt idx="0">
                  <c:v>0.744287797763734</c:v>
                </c:pt>
                <c:pt idx="1">
                  <c:v>0.253281477880408</c:v>
                </c:pt>
                <c:pt idx="2">
                  <c:v>0.00243072435585805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56331136"/>
        <c:axId val="256341120"/>
      </c:lineChart>
      <c:catAx>
        <c:axId val="25632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29600"/>
        <c:crosses val="autoZero"/>
        <c:auto val="1"/>
        <c:lblAlgn val="ctr"/>
        <c:lblOffset val="100"/>
        <c:noMultiLvlLbl val="0"/>
      </c:catAx>
      <c:valAx>
        <c:axId val="256329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28064"/>
        <c:crosses val="autoZero"/>
        <c:crossBetween val="between"/>
      </c:valAx>
      <c:catAx>
        <c:axId val="2563311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56341120"/>
        <c:crosses val="autoZero"/>
        <c:auto val="1"/>
        <c:lblAlgn val="ctr"/>
        <c:lblOffset val="100"/>
        <c:noMultiLvlLbl val="0"/>
      </c:catAx>
      <c:valAx>
        <c:axId val="256341120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6331136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2f062ee-8944-43e8-9b32-c4394a1c9a79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200" b="1"/>
              <a:t>对任课教师的评价</a:t>
            </a:r>
            <a:endParaRPr lang="zh-CN" altLang="en-US" sz="12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Sheet1!$B$55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Sheet1!$A$56:$A$59</c:f>
              <c:strCache>
                <c:ptCount val="4"/>
                <c:pt idx="0">
                  <c:v>非常满意</c:v>
                </c:pt>
                <c:pt idx="1">
                  <c:v>比较满意</c:v>
                </c:pt>
                <c:pt idx="2">
                  <c:v>一般满意</c:v>
                </c:pt>
                <c:pt idx="3">
                  <c:v>不满意</c:v>
                </c:pt>
              </c:strCache>
            </c:strRef>
          </c:cat>
          <c:val>
            <c:numRef>
              <c:f>Sheet1!$B$56:$B$59</c:f>
              <c:numCache>
                <c:formatCode>General</c:formatCode>
                <c:ptCount val="4"/>
                <c:pt idx="0">
                  <c:v>1759</c:v>
                </c:pt>
                <c:pt idx="1">
                  <c:v>296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0508160"/>
        <c:axId val="370509696"/>
      </c:barChart>
      <c:lineChart>
        <c:grouping val="standard"/>
        <c:varyColors val="0"/>
        <c:ser>
          <c:idx val="1"/>
          <c:order val="1"/>
          <c:tx>
            <c:strRef>
              <c:f>Sheet1!$C$55</c:f>
              <c:strCache>
                <c:ptCount val="1"/>
                <c:pt idx="0">
                  <c:v>百分比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Sheet1!$A$56:$A$59</c:f>
              <c:strCache>
                <c:ptCount val="4"/>
                <c:pt idx="0">
                  <c:v>非常满意</c:v>
                </c:pt>
                <c:pt idx="1">
                  <c:v>比较满意</c:v>
                </c:pt>
                <c:pt idx="2">
                  <c:v>一般满意</c:v>
                </c:pt>
                <c:pt idx="3">
                  <c:v>不满意</c:v>
                </c:pt>
              </c:strCache>
            </c:strRef>
          </c:cat>
          <c:val>
            <c:numRef>
              <c:f>Sheet1!$C$56:$C$59</c:f>
              <c:numCache>
                <c:formatCode>0.00%</c:formatCode>
                <c:ptCount val="4"/>
                <c:pt idx="0">
                  <c:v>0.85512882839086</c:v>
                </c:pt>
                <c:pt idx="1">
                  <c:v>0.143898881866796</c:v>
                </c:pt>
                <c:pt idx="2">
                  <c:v>0.000972289742343218</c:v>
                </c:pt>
                <c:pt idx="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70511232"/>
        <c:axId val="370533504"/>
      </c:lineChart>
      <c:catAx>
        <c:axId val="37050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0509696"/>
        <c:crosses val="autoZero"/>
        <c:auto val="1"/>
        <c:lblAlgn val="ctr"/>
        <c:lblOffset val="100"/>
        <c:noMultiLvlLbl val="0"/>
      </c:catAx>
      <c:valAx>
        <c:axId val="37050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0508160"/>
        <c:crosses val="autoZero"/>
        <c:crossBetween val="between"/>
      </c:valAx>
      <c:catAx>
        <c:axId val="3705112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0533504"/>
        <c:crosses val="autoZero"/>
        <c:auto val="1"/>
        <c:lblAlgn val="ctr"/>
        <c:lblOffset val="100"/>
        <c:noMultiLvlLbl val="0"/>
      </c:catAx>
      <c:valAx>
        <c:axId val="370533504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0511232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eba30e3-591c-4cfb-8275-e5d739668e52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rgbClr val="ED7D31">
                    <a:lumMod val="75000"/>
                  </a:srgbClr>
                </a:gs>
                <a:gs pos="74000">
                  <a:srgbClr val="ED7D31">
                    <a:lumMod val="60000"/>
                    <a:lumOff val="40000"/>
                  </a:srgbClr>
                </a:gs>
                <a:gs pos="83000">
                  <a:srgbClr val="ED7D31">
                    <a:lumMod val="60000"/>
                    <a:lumOff val="40000"/>
                  </a:srgbClr>
                </a:gs>
                <a:gs pos="100000">
                  <a:srgbClr val="ED7D31">
                    <a:lumMod val="20000"/>
                    <a:lumOff val="80000"/>
                  </a:srgbClr>
                </a:gs>
              </a:gsLst>
              <a:lin ang="5400000" scaled="1"/>
            </a:gradFill>
          </c:spPr>
          <c:invertIfNegative val="0"/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Lbls>
            <c:dLbl>
              <c:idx val="0"/>
              <c:layout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Calibri" panose="020F0502020204030204"/>
                      <a:ea typeface="Calibri" panose="020F0502020204030204"/>
                      <a:cs typeface="Calibri" panose="020F0502020204030204"/>
                    </a:defRPr>
                  </a:pPr>
                </a:p>
              </c:txPr>
              <c:dLblPos val="outEnd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outEnd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outEnd"/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Sheet1!$A$3:$D$11</c:f>
              <c:multiLvlStrCache>
                <c:ptCount val="9"/>
                <c:lvl>
                  <c:pt idx="0">
                    <c:v>签就业协议形式就业</c:v>
                  </c:pt>
                  <c:pt idx="1">
                    <c:v>签劳动合同形式就业</c:v>
                  </c:pt>
                  <c:pt idx="2">
                    <c:v>其他录用形式就业</c:v>
                  </c:pt>
                  <c:pt idx="3">
                    <c:v>应征义务兵</c:v>
                  </c:pt>
                  <c:pt idx="4">
                    <c:v>自由职业</c:v>
                  </c:pt>
                  <c:pt idx="5">
                    <c:v>自主创业</c:v>
                  </c:pt>
                  <c:pt idx="6">
                    <c:v>升学</c:v>
                  </c:pt>
                  <c:pt idx="7">
                    <c:v>出国</c:v>
                  </c:pt>
                  <c:pt idx="8">
                    <c:v>未就业</c:v>
                  </c:pt>
                </c:lvl>
                <c:lvl>
                  <c:pt idx="0">
                    <c:v>68.55%</c:v>
                  </c:pt>
                  <c:pt idx="4">
                    <c:v>0.53%</c:v>
                  </c:pt>
                  <c:pt idx="5">
                    <c:v>0.39%</c:v>
                  </c:pt>
                  <c:pt idx="6">
                    <c:v>14.00%</c:v>
                  </c:pt>
                  <c:pt idx="8">
                    <c:v>16.53%</c:v>
                  </c:pt>
                </c:lvl>
                <c:lvl>
                  <c:pt idx="0">
                    <c:v>1410</c:v>
                  </c:pt>
                  <c:pt idx="4">
                    <c:v>11</c:v>
                  </c:pt>
                  <c:pt idx="5">
                    <c:v>8</c:v>
                  </c:pt>
                  <c:pt idx="6">
                    <c:v>288</c:v>
                  </c:pt>
                  <c:pt idx="8">
                    <c:v>340</c:v>
                  </c:pt>
                </c:lvl>
                <c:lvl>
                  <c:pt idx="0">
                    <c:v>单位就业 </c:v>
                  </c:pt>
                  <c:pt idx="4">
                    <c:v>自由职业</c:v>
                  </c:pt>
                  <c:pt idx="5">
                    <c:v>自主创业</c:v>
                  </c:pt>
                  <c:pt idx="6">
                    <c:v>升学</c:v>
                  </c:pt>
                  <c:pt idx="8">
                    <c:v>未就业</c:v>
                  </c:pt>
                </c:lvl>
              </c:multiLvlStrCache>
            </c:multiLvlStrRef>
          </c:cat>
          <c:val>
            <c:numRef>
              <c:f>Sheet1!$E$3:$E$11</c:f>
              <c:numCache>
                <c:formatCode>General</c:formatCode>
                <c:ptCount val="9"/>
                <c:pt idx="0">
                  <c:v>1231</c:v>
                </c:pt>
                <c:pt idx="1">
                  <c:v>25</c:v>
                </c:pt>
                <c:pt idx="2">
                  <c:v>118</c:v>
                </c:pt>
                <c:pt idx="3">
                  <c:v>36</c:v>
                </c:pt>
                <c:pt idx="4">
                  <c:v>11</c:v>
                </c:pt>
                <c:pt idx="5">
                  <c:v>8</c:v>
                </c:pt>
                <c:pt idx="6">
                  <c:v>287</c:v>
                </c:pt>
                <c:pt idx="7">
                  <c:v>1</c:v>
                </c:pt>
                <c:pt idx="8">
                  <c:v>340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5312640"/>
        <c:axId val="365453696"/>
      </c:barChart>
      <c:catAx>
        <c:axId val="365312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5453696"/>
        <c:crosses val="autoZero"/>
        <c:auto val="1"/>
        <c:lblAlgn val="ctr"/>
        <c:lblOffset val="100"/>
        <c:noMultiLvlLbl val="0"/>
      </c:catAx>
      <c:valAx>
        <c:axId val="365453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5312640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d67a86b8-25a0-424e-ad81-a91afe6623ec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68154720636631"/>
          <c:y val="0.0160603546643259"/>
          <c:w val="0.94072408573026"/>
          <c:h val="0.85516489223147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.00889424888821889"/>
                  <c:y val="0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Sheet1!$C$4:$C$32</c:f>
              <c:strCache>
                <c:ptCount val="29"/>
                <c:pt idx="0">
                  <c:v>北京市</c:v>
                </c:pt>
                <c:pt idx="1">
                  <c:v>天津市</c:v>
                </c:pt>
                <c:pt idx="2">
                  <c:v>河北省</c:v>
                </c:pt>
                <c:pt idx="3">
                  <c:v>河南省</c:v>
                </c:pt>
                <c:pt idx="4">
                  <c:v>陕西省</c:v>
                </c:pt>
                <c:pt idx="5">
                  <c:v>内蒙古</c:v>
                </c:pt>
                <c:pt idx="6">
                  <c:v>吉林省</c:v>
                </c:pt>
                <c:pt idx="7">
                  <c:v>黑龙江省</c:v>
                </c:pt>
                <c:pt idx="8">
                  <c:v>上海市</c:v>
                </c:pt>
                <c:pt idx="9">
                  <c:v>江苏省</c:v>
                </c:pt>
                <c:pt idx="10">
                  <c:v>江西省</c:v>
                </c:pt>
                <c:pt idx="11">
                  <c:v>浙江省</c:v>
                </c:pt>
                <c:pt idx="12">
                  <c:v>山东省</c:v>
                </c:pt>
                <c:pt idx="13">
                  <c:v>山西省</c:v>
                </c:pt>
                <c:pt idx="14">
                  <c:v>湖南省</c:v>
                </c:pt>
                <c:pt idx="15">
                  <c:v>湖北省</c:v>
                </c:pt>
                <c:pt idx="16">
                  <c:v>四川省</c:v>
                </c:pt>
                <c:pt idx="17">
                  <c:v>重庆市</c:v>
                </c:pt>
                <c:pt idx="18">
                  <c:v>安徽省</c:v>
                </c:pt>
                <c:pt idx="19">
                  <c:v>广东省</c:v>
                </c:pt>
                <c:pt idx="20">
                  <c:v>广西省</c:v>
                </c:pt>
                <c:pt idx="21">
                  <c:v>贵州省</c:v>
                </c:pt>
                <c:pt idx="22">
                  <c:v>海南省</c:v>
                </c:pt>
                <c:pt idx="23">
                  <c:v>云南省</c:v>
                </c:pt>
                <c:pt idx="24">
                  <c:v>甘肃省</c:v>
                </c:pt>
                <c:pt idx="25">
                  <c:v>福建省</c:v>
                </c:pt>
                <c:pt idx="26">
                  <c:v>宁夏</c:v>
                </c:pt>
                <c:pt idx="27">
                  <c:v>青海省</c:v>
                </c:pt>
                <c:pt idx="28">
                  <c:v>新疆</c:v>
                </c:pt>
              </c:strCache>
            </c:strRef>
          </c:cat>
          <c:val>
            <c:numRef>
              <c:f>Sheet1!$D$4:$D$32</c:f>
              <c:numCache>
                <c:formatCode>General</c:formatCode>
                <c:ptCount val="29"/>
                <c:pt idx="0">
                  <c:v>31</c:v>
                </c:pt>
                <c:pt idx="1">
                  <c:v>7</c:v>
                </c:pt>
                <c:pt idx="2">
                  <c:v>6</c:v>
                </c:pt>
                <c:pt idx="3">
                  <c:v>17</c:v>
                </c:pt>
                <c:pt idx="4">
                  <c:v>2</c:v>
                </c:pt>
                <c:pt idx="5">
                  <c:v>52</c:v>
                </c:pt>
                <c:pt idx="6">
                  <c:v>24</c:v>
                </c:pt>
                <c:pt idx="7">
                  <c:v>1</c:v>
                </c:pt>
                <c:pt idx="8">
                  <c:v>6</c:v>
                </c:pt>
                <c:pt idx="9">
                  <c:v>12</c:v>
                </c:pt>
                <c:pt idx="10">
                  <c:v>2</c:v>
                </c:pt>
                <c:pt idx="11">
                  <c:v>18</c:v>
                </c:pt>
                <c:pt idx="12">
                  <c:v>12</c:v>
                </c:pt>
                <c:pt idx="13">
                  <c:v>4</c:v>
                </c:pt>
                <c:pt idx="14">
                  <c:v>2</c:v>
                </c:pt>
                <c:pt idx="15">
                  <c:v>2</c:v>
                </c:pt>
                <c:pt idx="16">
                  <c:v>20</c:v>
                </c:pt>
                <c:pt idx="17">
                  <c:v>2</c:v>
                </c:pt>
                <c:pt idx="18">
                  <c:v>10</c:v>
                </c:pt>
                <c:pt idx="19">
                  <c:v>14</c:v>
                </c:pt>
                <c:pt idx="20">
                  <c:v>22</c:v>
                </c:pt>
                <c:pt idx="21">
                  <c:v>16</c:v>
                </c:pt>
                <c:pt idx="22">
                  <c:v>3</c:v>
                </c:pt>
                <c:pt idx="23">
                  <c:v>12</c:v>
                </c:pt>
                <c:pt idx="24">
                  <c:v>1</c:v>
                </c:pt>
                <c:pt idx="25">
                  <c:v>6</c:v>
                </c:pt>
                <c:pt idx="26">
                  <c:v>1</c:v>
                </c:pt>
                <c:pt idx="27">
                  <c:v>10</c:v>
                </c:pt>
                <c:pt idx="28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7250432"/>
        <c:axId val="367264512"/>
      </c:barChart>
      <c:catAx>
        <c:axId val="367250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7264512"/>
        <c:crosses val="autoZero"/>
        <c:auto val="1"/>
        <c:lblAlgn val="ctr"/>
        <c:lblOffset val="100"/>
        <c:noMultiLvlLbl val="0"/>
      </c:catAx>
      <c:valAx>
        <c:axId val="36726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67250432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c7f10efa-328a-4cf6-b557-7585545fc488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21059587051342"/>
          <c:y val="0.0391732396670933"/>
          <c:w val="0.917894041294866"/>
          <c:h val="0.800911917858493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0"/>
              <c:layout>
                <c:manualLayout>
                  <c:x val="0.00286951672467235"/>
                  <c:y val="-0.37313926668257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354956074185819"/>
                  <c:y val="-0.26242222588914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523560209424084"/>
                  <c:y val="-0.083450917153799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00523560209424084"/>
                  <c:y val="-0.047762998790810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0354956074185819"/>
                  <c:y val="-0.10338573155985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"/>
                  <c:y val="-0.11932675838895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00257203028214829"/>
                  <c:y val="-0.39772788731987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0104712041884817"/>
                  <c:y val="-0.047772626486595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00354956074185819"/>
                  <c:y val="-0.11527609834744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0"/>
                  <c:y val="-0.15136951738270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0017747803709291"/>
                  <c:y val="-0.11528328865188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Sheet1!$A$4:$A$17</c:f>
              <c:strCache>
                <c:ptCount val="14"/>
                <c:pt idx="0">
                  <c:v>沈阳市</c:v>
                </c:pt>
                <c:pt idx="1">
                  <c:v>大连市</c:v>
                </c:pt>
                <c:pt idx="2">
                  <c:v>鞍山市</c:v>
                </c:pt>
                <c:pt idx="3">
                  <c:v>抚顺市</c:v>
                </c:pt>
                <c:pt idx="4">
                  <c:v>本溪市</c:v>
                </c:pt>
                <c:pt idx="5">
                  <c:v>丹东市</c:v>
                </c:pt>
                <c:pt idx="6">
                  <c:v>锦州市</c:v>
                </c:pt>
                <c:pt idx="7">
                  <c:v>营口市</c:v>
                </c:pt>
                <c:pt idx="8">
                  <c:v>阜新市</c:v>
                </c:pt>
                <c:pt idx="9">
                  <c:v>辽阳市</c:v>
                </c:pt>
                <c:pt idx="10">
                  <c:v>盘锦市</c:v>
                </c:pt>
                <c:pt idx="11">
                  <c:v>铁岭市</c:v>
                </c:pt>
                <c:pt idx="12">
                  <c:v>朝阳市</c:v>
                </c:pt>
                <c:pt idx="13">
                  <c:v>葫芦岛市</c:v>
                </c:pt>
              </c:strCache>
            </c:strRef>
          </c:cat>
          <c:val>
            <c:numRef>
              <c:f>Sheet1!$B$4:$B$17</c:f>
              <c:numCache>
                <c:formatCode>General</c:formatCode>
                <c:ptCount val="14"/>
                <c:pt idx="0">
                  <c:v>365</c:v>
                </c:pt>
                <c:pt idx="1">
                  <c:v>149</c:v>
                </c:pt>
                <c:pt idx="2">
                  <c:v>51</c:v>
                </c:pt>
                <c:pt idx="3">
                  <c:v>9</c:v>
                </c:pt>
                <c:pt idx="4">
                  <c:v>27</c:v>
                </c:pt>
                <c:pt idx="5">
                  <c:v>59</c:v>
                </c:pt>
                <c:pt idx="6">
                  <c:v>81</c:v>
                </c:pt>
                <c:pt idx="7">
                  <c:v>28</c:v>
                </c:pt>
                <c:pt idx="8">
                  <c:v>398</c:v>
                </c:pt>
                <c:pt idx="9">
                  <c:v>24</c:v>
                </c:pt>
                <c:pt idx="10">
                  <c:v>33</c:v>
                </c:pt>
                <c:pt idx="11">
                  <c:v>25</c:v>
                </c:pt>
                <c:pt idx="12">
                  <c:v>85</c:v>
                </c:pt>
                <c:pt idx="13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6560128"/>
        <c:axId val="1"/>
      </c:barChart>
      <c:catAx>
        <c:axId val="96560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96560128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90e5bada-8253-4b27-b12c-f5da7851fdbd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>
                <a:latin typeface="+mn-ea"/>
                <a:ea typeface="+mn-ea"/>
              </a:rPr>
              <a:t>就业单位流向</a:t>
            </a:r>
            <a:endParaRPr lang="zh-CN" altLang="en-US" sz="1200">
              <a:latin typeface="+mn-ea"/>
              <a:ea typeface="+mn-ea"/>
            </a:endParaRPr>
          </a:p>
        </c:rich>
      </c:tx>
      <c:layout/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Lbls>
            <c:dLbl>
              <c:idx val="0"/>
              <c:layout>
                <c:manualLayout>
                  <c:x val="0.00164447096608303"/>
                  <c:y val="-0.29568464319318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0418987893311757"/>
                  <c:y val="-0.0453252863740869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369577416678865"/>
                  <c:y val="-0.0479520529813549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0406032954342129"/>
                  <c:y val="-0.0524128019264998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987654320987654"/>
                  <c:y val="-0.042624256858549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00403616214639837"/>
                  <c:y val="-0.19199487745191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00163877096244238"/>
                  <c:y val="-0.042788050037946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00410912669366775"/>
                  <c:y val="-0.0451240470945377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00124249743814966"/>
                  <c:y val="-0.0376240470945377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000812028126113865"/>
                  <c:y val="-0.0524726438180735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0.00328563796126278"/>
                  <c:y val="-0.0589728525660589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Sheet1!$B$3:$B$13</c:f>
              <c:strCache>
                <c:ptCount val="11"/>
                <c:pt idx="0">
                  <c:v>其他企业</c:v>
                </c:pt>
                <c:pt idx="1">
                  <c:v>国有企业</c:v>
                </c:pt>
                <c:pt idx="2">
                  <c:v>医疗卫生单位</c:v>
                </c:pt>
                <c:pt idx="3">
                  <c:v>中初等教育单位</c:v>
                </c:pt>
                <c:pt idx="4">
                  <c:v>其他事业单位</c:v>
                </c:pt>
                <c:pt idx="5">
                  <c:v>个体工商户</c:v>
                </c:pt>
                <c:pt idx="6">
                  <c:v>农村建制村</c:v>
                </c:pt>
                <c:pt idx="7">
                  <c:v>社会组织/国际组织等</c:v>
                </c:pt>
                <c:pt idx="8">
                  <c:v>外商投资企业</c:v>
                </c:pt>
                <c:pt idx="9">
                  <c:v>机关</c:v>
                </c:pt>
                <c:pt idx="10">
                  <c:v>城镇社区</c:v>
                </c:pt>
              </c:strCache>
            </c:strRef>
          </c:cat>
          <c:val>
            <c:numRef>
              <c:f>Sheet1!$E$3:$E$13</c:f>
              <c:numCache>
                <c:formatCode>0.00%</c:formatCode>
                <c:ptCount val="11"/>
                <c:pt idx="0">
                  <c:v>0.566229985443959</c:v>
                </c:pt>
                <c:pt idx="1">
                  <c:v>0.0385735080058224</c:v>
                </c:pt>
                <c:pt idx="2">
                  <c:v>0.00509461426491994</c:v>
                </c:pt>
                <c:pt idx="3">
                  <c:v>0.0676855895196507</c:v>
                </c:pt>
                <c:pt idx="4">
                  <c:v>0.0181950509461426</c:v>
                </c:pt>
                <c:pt idx="5">
                  <c:v>0.281659388646288</c:v>
                </c:pt>
                <c:pt idx="6">
                  <c:v>0.000727802037845706</c:v>
                </c:pt>
                <c:pt idx="7">
                  <c:v>0.00727802037845706</c:v>
                </c:pt>
                <c:pt idx="8">
                  <c:v>0.00218340611353712</c:v>
                </c:pt>
                <c:pt idx="9">
                  <c:v>0.00873362445414847</c:v>
                </c:pt>
                <c:pt idx="10">
                  <c:v>0.00363901018922853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70599808"/>
        <c:axId val="370601344"/>
      </c:barChart>
      <c:catAx>
        <c:axId val="37059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70601344"/>
        <c:crosses val="autoZero"/>
        <c:auto val="1"/>
        <c:lblAlgn val="ctr"/>
        <c:lblOffset val="100"/>
        <c:noMultiLvlLbl val="0"/>
      </c:catAx>
      <c:valAx>
        <c:axId val="370601344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70599808"/>
        <c:crosses val="autoZero"/>
        <c:crossBetween val="between"/>
      </c:valAx>
      <c:spPr>
        <a:solidFill>
          <a:srgbClr val="FFFFFF"/>
        </a:solidFill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0ca2c96b-7f58-4ebf-b46f-e26f1d51d249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sz="1200" b="1"/>
              <a:t>单位规模</a:t>
            </a:r>
            <a:endParaRPr lang="zh-CN" sz="1200" b="1"/>
          </a:p>
        </c:rich>
      </c:tx>
      <c:layout>
        <c:manualLayout>
          <c:xMode val="edge"/>
          <c:yMode val="edge"/>
          <c:x val="0.4284751435773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9066276604519"/>
          <c:y val="0.266705645534146"/>
          <c:w val="0.492590080583735"/>
          <c:h val="0.72219846502927"/>
        </c:manualLayout>
      </c:layout>
      <c:doughnutChart>
        <c:varyColors val="1"/>
        <c:ser>
          <c:idx val="0"/>
          <c:order val="0"/>
          <c:explosion val="2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explosion val="15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9d1c8a7c-02e2-4424-9050-2db0cc8f17c2}" type="CELLRANGE">
                      <a:t>[CELLRANGE]</a:t>
                    </a:fld>
                    <a:endParaRPr lang="zh-CN" altLang="en-US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f42e42aa-07f7-4eb1-8614-e2aec8f4373e}" type="CELLRANGE">
                      <a:t>[CELLRANGE]</a:t>
                    </a:fld>
                    <a:endParaRPr lang="zh-CN" altLang="en-US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-0.113885238720981"/>
                  <c:y val="-0.11358855700462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553a84af-69ba-4032-98b9-ef66de2a31e9}" type="CELLRANGE">
                      <a:t>[CELLRANGE]</a:t>
                    </a:fld>
                    <a:endParaRPr lang="en-US" altLang="zh-CN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-0.0596435643564356"/>
                  <c:y val="-0.13883040210524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08e7df85-adc7-43d0-aba3-3a1e6f94b81e}" type="CELLRANGE">
                      <a:t>[CELLRANGE]</a:t>
                    </a:fld>
                    <a:endParaRPr lang="en-US" altLang="zh-CN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-0.0140166447656592"/>
                  <c:y val="-0.14514093395035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defad0d5-dda7-4204-ba7a-44bd1b23de44}" type="CELLRANGE">
                      <a:t>[CELLRANGE]</a:t>
                    </a:fld>
                    <a:endParaRPr lang="en-US" altLang="zh-CN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5"/>
              <c:layout>
                <c:manualLayout>
                  <c:x val="0.0420499342969776"/>
                  <c:y val="-0.1262095077829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f2f2b5bf-831a-4af4-a37f-86db0b133bcf}" type="CELLRANGE">
                      <a:t>[CELLRANGE]</a:t>
                    </a:fld>
                    <a:endParaRPr lang="en-US" altLang="zh-CN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6"/>
              <c:layout>
                <c:manualLayout>
                  <c:x val="0.0683311432325887"/>
                  <c:y val="-0.08624316365166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fld id="{15032482-667d-4e6f-bd9d-812a2428f6a7}" type="CELLRANGE">
                      <a:t>[CELLRANGE]</a:t>
                    </a:fld>
                    <a:endParaRPr lang="en-US" altLang="zh-CN" b="0" i="0" u="none" strike="noStrike" baseline="0">
                      <a:latin typeface="Times New Roman" panose="02020603050405020304" charset="0"/>
                      <a:ea typeface="Times New Roman" panose="02020603050405020304" charset="0"/>
                      <a:cs typeface="+mn-ea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Sheet1!$S$4:$Y$4</c:f>
              <c:strCache>
                <c:ptCount val="7"/>
                <c:pt idx="0">
                  <c:v>50人以下</c:v>
                </c:pt>
                <c:pt idx="1">
                  <c:v>50-200人企业</c:v>
                </c:pt>
                <c:pt idx="2">
                  <c:v>201-500人企业</c:v>
                </c:pt>
                <c:pt idx="3">
                  <c:v>501-1000人企业</c:v>
                </c:pt>
                <c:pt idx="4">
                  <c:v>1001-3000人企业</c:v>
                </c:pt>
                <c:pt idx="5">
                  <c:v>3001-5000人企业</c:v>
                </c:pt>
                <c:pt idx="6">
                  <c:v>5000人以上企业</c:v>
                </c:pt>
              </c:strCache>
            </c:strRef>
          </c:cat>
          <c:val>
            <c:numRef>
              <c:f>Sheet1!$S$5:$Y$5</c:f>
              <c:numCache>
                <c:formatCode>0.00%</c:formatCode>
                <c:ptCount val="7"/>
                <c:pt idx="0">
                  <c:v>0.681232091690544</c:v>
                </c:pt>
                <c:pt idx="1">
                  <c:v>0.260744985673352</c:v>
                </c:pt>
                <c:pt idx="2">
                  <c:v>0.0193409742120344</c:v>
                </c:pt>
                <c:pt idx="3">
                  <c:v>0.0214899713467049</c:v>
                </c:pt>
                <c:pt idx="4">
                  <c:v>0.0107449856733524</c:v>
                </c:pt>
                <c:pt idx="5">
                  <c:v>0.00143266475644699</c:v>
                </c:pt>
                <c:pt idx="6">
                  <c:v>0.00286532951289398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Sheet1!$S$5:$Y$5</c15:f>
                <c15:dlblRangeCache>
                  <c:ptCount val="7"/>
                  <c:pt idx="0">
                    <c:v>68.12%</c:v>
                  </c:pt>
                  <c:pt idx="1">
                    <c:v>26.07%</c:v>
                  </c:pt>
                  <c:pt idx="2">
                    <c:v>1.93%</c:v>
                  </c:pt>
                  <c:pt idx="3">
                    <c:v>2.15%</c:v>
                  </c:pt>
                  <c:pt idx="4">
                    <c:v>1.07%</c:v>
                  </c:pt>
                  <c:pt idx="5">
                    <c:v>0.14%</c:v>
                  </c:pt>
                  <c:pt idx="6">
                    <c:v>0.29%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0399519762999922"/>
          <c:y val="0.0756081867719291"/>
          <c:w val="0.930656895610821"/>
          <c:h val="0.1128617190567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889ec40-644c-451b-9149-93523cd4393d}"/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/>
              <a:t>就业行业流向</a:t>
            </a:r>
            <a:endParaRPr lang="zh-CN" altLang="en-US"/>
          </a:p>
        </c:rich>
      </c:tx>
      <c:layout/>
      <c:overlay val="0"/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  <a:ln w="9525" cap="flat" cmpd="sng" algn="ctr">
              <a:noFill/>
              <a:prstDash val="solid"/>
              <a:round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</c:dPt>
          <c:dPt>
            <c:idx val="14"/>
            <c:invertIfNegative val="0"/>
            <c:bubble3D val="0"/>
          </c:dPt>
          <c:dPt>
            <c:idx val="15"/>
            <c:invertIfNegative val="0"/>
            <c:bubble3D val="0"/>
          </c:dPt>
          <c:dPt>
            <c:idx val="16"/>
            <c:invertIfNegative val="0"/>
            <c:bubble3D val="0"/>
          </c:dPt>
          <c:dPt>
            <c:idx val="17"/>
            <c:invertIfNegative val="0"/>
            <c:bubble3D val="0"/>
          </c:dPt>
          <c:dPt>
            <c:idx val="18"/>
            <c:invertIfNegative val="0"/>
            <c:bubble3D val="0"/>
          </c:dPt>
          <c:dLbls>
            <c:dLbl>
              <c:idx val="0"/>
              <c:layout>
                <c:manualLayout>
                  <c:x val="0.356378975847461"/>
                  <c:y val="0.00160603891455717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281929347826087"/>
                  <c:y val="0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222486413043478"/>
                  <c:y val="-0.000803083841953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329483695652174"/>
                  <c:y val="-0.000803083841953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25883152173913"/>
                  <c:y val="0.0008030838419531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215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240319293478261"/>
                  <c:y val="-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138417119565217"/>
                  <c:y val="0.002409251525859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0.0840692934782609"/>
                  <c:y val="-0.004818503051718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0.0840692934782609"/>
                  <c:y val="0.0016061676839062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Sheet1!$B$3:$B$21</c:f>
              <c:strCache>
                <c:ptCount val="19"/>
                <c:pt idx="0">
                  <c:v>教育</c:v>
                </c:pt>
                <c:pt idx="1">
                  <c:v>居民服务、修理和其他服务业</c:v>
                </c:pt>
                <c:pt idx="2">
                  <c:v>建筑业</c:v>
                </c:pt>
                <c:pt idx="3">
                  <c:v>批发和零售业</c:v>
                </c:pt>
                <c:pt idx="4">
                  <c:v>制造业</c:v>
                </c:pt>
                <c:pt idx="5">
                  <c:v>信息传输、软件和信息技术服务业</c:v>
                </c:pt>
                <c:pt idx="6">
                  <c:v>租赁和商业服务业</c:v>
                </c:pt>
                <c:pt idx="7">
                  <c:v>农、林、牧、渔业</c:v>
                </c:pt>
                <c:pt idx="8">
                  <c:v>住宿和餐饮业</c:v>
                </c:pt>
                <c:pt idx="9">
                  <c:v>房地产业</c:v>
                </c:pt>
                <c:pt idx="10">
                  <c:v>金融业</c:v>
                </c:pt>
                <c:pt idx="11">
                  <c:v>电力、热力、燃气及水生产和供应业</c:v>
                </c:pt>
                <c:pt idx="12">
                  <c:v>卫生和社会工作</c:v>
                </c:pt>
                <c:pt idx="13">
                  <c:v>交通运输、仓储和邮政业</c:v>
                </c:pt>
                <c:pt idx="14">
                  <c:v>文化、体育和娱乐业</c:v>
                </c:pt>
                <c:pt idx="15">
                  <c:v>公共管理、社会保障和社会组织</c:v>
                </c:pt>
                <c:pt idx="16">
                  <c:v>科学研究和技术服务业</c:v>
                </c:pt>
                <c:pt idx="17">
                  <c:v>水利、环境和公共设施管理业</c:v>
                </c:pt>
                <c:pt idx="18">
                  <c:v>采矿业</c:v>
                </c:pt>
              </c:strCache>
            </c:strRef>
          </c:cat>
          <c:val>
            <c:numRef>
              <c:f>Sheet1!$D$3:$D$21</c:f>
              <c:numCache>
                <c:formatCode>0.00%</c:formatCode>
                <c:ptCount val="19"/>
                <c:pt idx="0">
                  <c:v>0.259152907394113</c:v>
                </c:pt>
                <c:pt idx="1">
                  <c:v>0.0997846374730797</c:v>
                </c:pt>
                <c:pt idx="2">
                  <c:v>0.0588657573582197</c:v>
                </c:pt>
                <c:pt idx="3">
                  <c:v>0.0961952620244078</c:v>
                </c:pt>
                <c:pt idx="4">
                  <c:v>0.0531227566403446</c:v>
                </c:pt>
                <c:pt idx="5">
                  <c:v>0.0567121320890165</c:v>
                </c:pt>
                <c:pt idx="6">
                  <c:v>0.0358937544867193</c:v>
                </c:pt>
                <c:pt idx="7">
                  <c:v>0.134960516870065</c:v>
                </c:pt>
                <c:pt idx="8">
                  <c:v>0.0358937544867193</c:v>
                </c:pt>
                <c:pt idx="9">
                  <c:v>0.00430725053840632</c:v>
                </c:pt>
                <c:pt idx="10">
                  <c:v>0.00574300071787509</c:v>
                </c:pt>
                <c:pt idx="11">
                  <c:v>0.0150753768844221</c:v>
                </c:pt>
                <c:pt idx="12">
                  <c:v>0.0308686288585786</c:v>
                </c:pt>
                <c:pt idx="13">
                  <c:v>0.022254127781766</c:v>
                </c:pt>
                <c:pt idx="14">
                  <c:v>0.0236898779612347</c:v>
                </c:pt>
                <c:pt idx="15">
                  <c:v>0.0279971284996411</c:v>
                </c:pt>
                <c:pt idx="16">
                  <c:v>0.0265613783201723</c:v>
                </c:pt>
                <c:pt idx="17">
                  <c:v>0.00574300071787509</c:v>
                </c:pt>
                <c:pt idx="18">
                  <c:v>0.00717875089734386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149129360"/>
        <c:axId val="1"/>
      </c:barChart>
      <c:catAx>
        <c:axId val="1149129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270000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/>
        <c:numFmt formatCode="0.00%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11491293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bc21389b-382c-4b3d-aadc-e5b57439f91b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r>
              <a:rPr lang="zh-CN" altLang="en-US" sz="1200"/>
              <a:t>就业职业流向</a:t>
            </a:r>
            <a:endParaRPr lang="zh-CN" altLang="en-US" sz="1200"/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dLbl>
              <c:idx val="13"/>
              <c:layout>
                <c:manualLayout>
                  <c:x val="0.00976800976800977"/>
                  <c:y val="-0.00361336946702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10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Sheet1!$B$3:$B$16</c:f>
              <c:strCache>
                <c:ptCount val="14"/>
                <c:pt idx="0">
                  <c:v>办事人员和有关人员</c:v>
                </c:pt>
                <c:pt idx="1">
                  <c:v>行政事务处理人员</c:v>
                </c:pt>
                <c:pt idx="2">
                  <c:v>公务员</c:v>
                </c:pt>
                <c:pt idx="3">
                  <c:v>工程技术人员</c:v>
                </c:pt>
                <c:pt idx="4">
                  <c:v>教学人员</c:v>
                </c:pt>
                <c:pt idx="5">
                  <c:v>金融业务人员</c:v>
                </c:pt>
                <c:pt idx="6">
                  <c:v>经济业务人员</c:v>
                </c:pt>
                <c:pt idx="7">
                  <c:v>农林牧渔业技术人员</c:v>
                </c:pt>
                <c:pt idx="8">
                  <c:v>其他专业技术人员</c:v>
                </c:pt>
                <c:pt idx="9">
                  <c:v>商业和服务人员</c:v>
                </c:pt>
                <c:pt idx="10">
                  <c:v>生产和运输设备操作人员</c:v>
                </c:pt>
                <c:pt idx="11">
                  <c:v>卫生专业技术人员</c:v>
                </c:pt>
                <c:pt idx="12">
                  <c:v>文学艺术工作人员</c:v>
                </c:pt>
                <c:pt idx="13">
                  <c:v>其他人员</c:v>
                </c:pt>
              </c:strCache>
            </c:strRef>
          </c:cat>
          <c:val>
            <c:numRef>
              <c:f>Sheet1!$C$3:$C$16</c:f>
              <c:numCache>
                <c:formatCode>General</c:formatCode>
                <c:ptCount val="14"/>
                <c:pt idx="0">
                  <c:v>88</c:v>
                </c:pt>
                <c:pt idx="1">
                  <c:v>1</c:v>
                </c:pt>
                <c:pt idx="2">
                  <c:v>3</c:v>
                </c:pt>
                <c:pt idx="3">
                  <c:v>63</c:v>
                </c:pt>
                <c:pt idx="4">
                  <c:v>345</c:v>
                </c:pt>
                <c:pt idx="5">
                  <c:v>2</c:v>
                </c:pt>
                <c:pt idx="6">
                  <c:v>26</c:v>
                </c:pt>
                <c:pt idx="7">
                  <c:v>160</c:v>
                </c:pt>
                <c:pt idx="8">
                  <c:v>22</c:v>
                </c:pt>
                <c:pt idx="9">
                  <c:v>106</c:v>
                </c:pt>
                <c:pt idx="10">
                  <c:v>5</c:v>
                </c:pt>
                <c:pt idx="11">
                  <c:v>5</c:v>
                </c:pt>
                <c:pt idx="12">
                  <c:v>2</c:v>
                </c:pt>
                <c:pt idx="13">
                  <c:v>565</c:v>
                </c:pt>
              </c:numCache>
            </c:numRef>
          </c:val>
        </c:ser>
        <c:ser>
          <c:idx val="1"/>
          <c:order val="1"/>
          <c:invertIfNegative val="0"/>
          <c:dLbls>
            <c:delete val="1"/>
          </c:dLbls>
          <c:cat>
            <c:strRef>
              <c:f>Sheet1!$B$3:$B$16</c:f>
              <c:strCache>
                <c:ptCount val="14"/>
                <c:pt idx="0">
                  <c:v>办事人员和有关人员</c:v>
                </c:pt>
                <c:pt idx="1">
                  <c:v>行政事务处理人员</c:v>
                </c:pt>
                <c:pt idx="2">
                  <c:v>公务员</c:v>
                </c:pt>
                <c:pt idx="3">
                  <c:v>工程技术人员</c:v>
                </c:pt>
                <c:pt idx="4">
                  <c:v>教学人员</c:v>
                </c:pt>
                <c:pt idx="5">
                  <c:v>金融业务人员</c:v>
                </c:pt>
                <c:pt idx="6">
                  <c:v>经济业务人员</c:v>
                </c:pt>
                <c:pt idx="7">
                  <c:v>农林牧渔业技术人员</c:v>
                </c:pt>
                <c:pt idx="8">
                  <c:v>其他专业技术人员</c:v>
                </c:pt>
                <c:pt idx="9">
                  <c:v>商业和服务人员</c:v>
                </c:pt>
                <c:pt idx="10">
                  <c:v>生产和运输设备操作人员</c:v>
                </c:pt>
                <c:pt idx="11">
                  <c:v>卫生专业技术人员</c:v>
                </c:pt>
                <c:pt idx="12">
                  <c:v>文学艺术工作人员</c:v>
                </c:pt>
                <c:pt idx="13">
                  <c:v>其他人员</c:v>
                </c:pt>
              </c:strCache>
            </c:strRef>
          </c:cat>
          <c:val>
            <c:numRef>
              <c:f>Sheet1!$D$3:$D$16</c:f>
              <c:numCache>
                <c:formatCode>0.00%</c:formatCode>
                <c:ptCount val="14"/>
                <c:pt idx="0">
                  <c:v>0.063173007896626</c:v>
                </c:pt>
                <c:pt idx="1">
                  <c:v>0.000717875089734386</c:v>
                </c:pt>
                <c:pt idx="2">
                  <c:v>0.00215362526920316</c:v>
                </c:pt>
                <c:pt idx="3">
                  <c:v>0.0452261306532663</c:v>
                </c:pt>
                <c:pt idx="4">
                  <c:v>0.247666905958363</c:v>
                </c:pt>
                <c:pt idx="5">
                  <c:v>0.00143575017946877</c:v>
                </c:pt>
                <c:pt idx="6">
                  <c:v>0.018664752333094</c:v>
                </c:pt>
                <c:pt idx="7">
                  <c:v>0.114860014357502</c:v>
                </c:pt>
                <c:pt idx="8">
                  <c:v>0.0157932519741565</c:v>
                </c:pt>
                <c:pt idx="9">
                  <c:v>0.0760947595118449</c:v>
                </c:pt>
                <c:pt idx="10">
                  <c:v>0.00358937544867193</c:v>
                </c:pt>
                <c:pt idx="11">
                  <c:v>0.00358937544867193</c:v>
                </c:pt>
                <c:pt idx="12">
                  <c:v>0.00143575017946877</c:v>
                </c:pt>
                <c:pt idx="13">
                  <c:v>0.405599425699928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378902400"/>
        <c:axId val="378903936"/>
      </c:barChart>
      <c:catAx>
        <c:axId val="378902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</c:spPr>
        <c:txPr>
          <a:bodyPr rot="-27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78903936"/>
        <c:crosses val="autoZero"/>
        <c:auto val="1"/>
        <c:lblAlgn val="ctr"/>
        <c:lblOffset val="100"/>
        <c:noMultiLvlLbl val="0"/>
      </c:catAx>
      <c:valAx>
        <c:axId val="37890393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378902400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  <c:extLst>
      <c:ext uri="{0b15fc19-7d7d-44ad-8c2d-2c3a37ce22c3}">
        <chartProps xmlns="https://web.wps.cn/et/2018/main" chartId="{c83c7bb9-aa0e-4cb6-933b-f4f24507b916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96011660904"/>
          <c:y val="0.0281442392260334"/>
          <c:w val="0.748007476925163"/>
          <c:h val="0.6296459116752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Sheet2!$A$2:$A$35</c:f>
              <c:strCache>
                <c:ptCount val="34"/>
                <c:pt idx="0">
                  <c:v>大连东软信息学院</c:v>
                </c:pt>
                <c:pt idx="1">
                  <c:v>辽东学院</c:v>
                </c:pt>
                <c:pt idx="2">
                  <c:v>大连海洋大学</c:v>
                </c:pt>
                <c:pt idx="3">
                  <c:v>辽宁科技学院</c:v>
                </c:pt>
                <c:pt idx="4">
                  <c:v>辽宁工业大学</c:v>
                </c:pt>
                <c:pt idx="5">
                  <c:v>鞍山师范学院</c:v>
                </c:pt>
                <c:pt idx="6">
                  <c:v>辽宁财贸学院</c:v>
                </c:pt>
                <c:pt idx="7">
                  <c:v>辽宁工程技术大学</c:v>
                </c:pt>
                <c:pt idx="8">
                  <c:v>辽宁科技大学</c:v>
                </c:pt>
                <c:pt idx="9">
                  <c:v>辽宁理工职业大学</c:v>
                </c:pt>
                <c:pt idx="10">
                  <c:v>大连科技学院</c:v>
                </c:pt>
                <c:pt idx="11">
                  <c:v>大连艺术学院</c:v>
                </c:pt>
                <c:pt idx="12">
                  <c:v>辽宁何氏医学院</c:v>
                </c:pt>
                <c:pt idx="13">
                  <c:v>沈阳工业大学</c:v>
                </c:pt>
                <c:pt idx="14">
                  <c:v>沈阳医学院</c:v>
                </c:pt>
                <c:pt idx="15">
                  <c:v>辽宁对外经贸学院</c:v>
                </c:pt>
                <c:pt idx="16">
                  <c:v>沈阳大学</c:v>
                </c:pt>
                <c:pt idx="17">
                  <c:v>大连交通大学</c:v>
                </c:pt>
                <c:pt idx="18">
                  <c:v>辽宁理工学院</c:v>
                </c:pt>
                <c:pt idx="19">
                  <c:v>沈阳师范大学</c:v>
                </c:pt>
                <c:pt idx="20">
                  <c:v>沈阳工程学院</c:v>
                </c:pt>
                <c:pt idx="21">
                  <c:v>沈阳科技学院</c:v>
                </c:pt>
                <c:pt idx="22">
                  <c:v>大连财经学院</c:v>
                </c:pt>
                <c:pt idx="23">
                  <c:v>内蒙古民族大学</c:v>
                </c:pt>
                <c:pt idx="24">
                  <c:v>沈阳城市建设学院</c:v>
                </c:pt>
                <c:pt idx="25">
                  <c:v>沈阳化工大学</c:v>
                </c:pt>
                <c:pt idx="26">
                  <c:v>渤海大学</c:v>
                </c:pt>
                <c:pt idx="27">
                  <c:v>辽宁师范大学</c:v>
                </c:pt>
                <c:pt idx="28">
                  <c:v>沈阳城市学院</c:v>
                </c:pt>
                <c:pt idx="29">
                  <c:v>沈阳工学院</c:v>
                </c:pt>
                <c:pt idx="30">
                  <c:v>大连工业大学</c:v>
                </c:pt>
                <c:pt idx="31">
                  <c:v>锦州医科大学</c:v>
                </c:pt>
                <c:pt idx="32">
                  <c:v>辽宁中医药大学</c:v>
                </c:pt>
                <c:pt idx="33">
                  <c:v>合计</c:v>
                </c:pt>
              </c:strCache>
            </c:strRef>
          </c:cat>
          <c:val>
            <c:numRef>
              <c:f>Sheet2!$B$2:$B$35</c:f>
              <c:numCache>
                <c:formatCode>General</c:formatCode>
                <c:ptCount val="34"/>
                <c:pt idx="0">
                  <c:v>35</c:v>
                </c:pt>
                <c:pt idx="1">
                  <c:v>34</c:v>
                </c:pt>
                <c:pt idx="2">
                  <c:v>23</c:v>
                </c:pt>
                <c:pt idx="3">
                  <c:v>18</c:v>
                </c:pt>
                <c:pt idx="4">
                  <c:v>15</c:v>
                </c:pt>
                <c:pt idx="5">
                  <c:v>14</c:v>
                </c:pt>
                <c:pt idx="6">
                  <c:v>11</c:v>
                </c:pt>
                <c:pt idx="7">
                  <c:v>11</c:v>
                </c:pt>
                <c:pt idx="8">
                  <c:v>9</c:v>
                </c:pt>
                <c:pt idx="9">
                  <c:v>9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8</c:v>
                </c:pt>
                <c:pt idx="14">
                  <c:v>8</c:v>
                </c:pt>
                <c:pt idx="15">
                  <c:v>7</c:v>
                </c:pt>
                <c:pt idx="16">
                  <c:v>7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5</c:v>
                </c:pt>
                <c:pt idx="21">
                  <c:v>5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3</c:v>
                </c:pt>
                <c:pt idx="26">
                  <c:v>2</c:v>
                </c:pt>
                <c:pt idx="27">
                  <c:v>2</c:v>
                </c:pt>
                <c:pt idx="28">
                  <c:v>2</c:v>
                </c:pt>
                <c:pt idx="29">
                  <c:v>2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287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4893920"/>
        <c:axId val="394910560"/>
      </c:barChart>
      <c:lineChart>
        <c:grouping val="standard"/>
        <c:varyColors val="0"/>
        <c:ser>
          <c:idx val="1"/>
          <c:order val="1"/>
          <c:tx>
            <c:strRef>
              <c:f>Sheet2!$C$1</c:f>
              <c:strCache>
                <c:ptCount val="1"/>
                <c:pt idx="0">
                  <c:v>占比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Sheet2!$A$2:$A$35</c:f>
              <c:strCache>
                <c:ptCount val="34"/>
                <c:pt idx="0">
                  <c:v>大连东软信息学院</c:v>
                </c:pt>
                <c:pt idx="1">
                  <c:v>辽东学院</c:v>
                </c:pt>
                <c:pt idx="2">
                  <c:v>大连海洋大学</c:v>
                </c:pt>
                <c:pt idx="3">
                  <c:v>辽宁科技学院</c:v>
                </c:pt>
                <c:pt idx="4">
                  <c:v>辽宁工业大学</c:v>
                </c:pt>
                <c:pt idx="5">
                  <c:v>鞍山师范学院</c:v>
                </c:pt>
                <c:pt idx="6">
                  <c:v>辽宁财贸学院</c:v>
                </c:pt>
                <c:pt idx="7">
                  <c:v>辽宁工程技术大学</c:v>
                </c:pt>
                <c:pt idx="8">
                  <c:v>辽宁科技大学</c:v>
                </c:pt>
                <c:pt idx="9">
                  <c:v>辽宁理工职业大学</c:v>
                </c:pt>
                <c:pt idx="10">
                  <c:v>大连科技学院</c:v>
                </c:pt>
                <c:pt idx="11">
                  <c:v>大连艺术学院</c:v>
                </c:pt>
                <c:pt idx="12">
                  <c:v>辽宁何氏医学院</c:v>
                </c:pt>
                <c:pt idx="13">
                  <c:v>沈阳工业大学</c:v>
                </c:pt>
                <c:pt idx="14">
                  <c:v>沈阳医学院</c:v>
                </c:pt>
                <c:pt idx="15">
                  <c:v>辽宁对外经贸学院</c:v>
                </c:pt>
                <c:pt idx="16">
                  <c:v>沈阳大学</c:v>
                </c:pt>
                <c:pt idx="17">
                  <c:v>大连交通大学</c:v>
                </c:pt>
                <c:pt idx="18">
                  <c:v>辽宁理工学院</c:v>
                </c:pt>
                <c:pt idx="19">
                  <c:v>沈阳师范大学</c:v>
                </c:pt>
                <c:pt idx="20">
                  <c:v>沈阳工程学院</c:v>
                </c:pt>
                <c:pt idx="21">
                  <c:v>沈阳科技学院</c:v>
                </c:pt>
                <c:pt idx="22">
                  <c:v>大连财经学院</c:v>
                </c:pt>
                <c:pt idx="23">
                  <c:v>内蒙古民族大学</c:v>
                </c:pt>
                <c:pt idx="24">
                  <c:v>沈阳城市建设学院</c:v>
                </c:pt>
                <c:pt idx="25">
                  <c:v>沈阳化工大学</c:v>
                </c:pt>
                <c:pt idx="26">
                  <c:v>渤海大学</c:v>
                </c:pt>
                <c:pt idx="27">
                  <c:v>辽宁师范大学</c:v>
                </c:pt>
                <c:pt idx="28">
                  <c:v>沈阳城市学院</c:v>
                </c:pt>
                <c:pt idx="29">
                  <c:v>沈阳工学院</c:v>
                </c:pt>
                <c:pt idx="30">
                  <c:v>大连工业大学</c:v>
                </c:pt>
                <c:pt idx="31">
                  <c:v>锦州医科大学</c:v>
                </c:pt>
                <c:pt idx="32">
                  <c:v>辽宁中医药大学</c:v>
                </c:pt>
                <c:pt idx="33">
                  <c:v>合计</c:v>
                </c:pt>
              </c:strCache>
            </c:strRef>
          </c:cat>
          <c:val>
            <c:numRef>
              <c:f>Sheet2!$C$2:$C$35</c:f>
              <c:numCache>
                <c:formatCode>0.00%</c:formatCode>
                <c:ptCount val="34"/>
                <c:pt idx="0">
                  <c:v>0.121951219512195</c:v>
                </c:pt>
                <c:pt idx="1">
                  <c:v>0.118466898954704</c:v>
                </c:pt>
                <c:pt idx="2">
                  <c:v>0.0801393728222996</c:v>
                </c:pt>
                <c:pt idx="3">
                  <c:v>0.0627177700348432</c:v>
                </c:pt>
                <c:pt idx="4">
                  <c:v>0.0522648083623693</c:v>
                </c:pt>
                <c:pt idx="5">
                  <c:v>0.0487804878048781</c:v>
                </c:pt>
                <c:pt idx="6">
                  <c:v>0.0383275261324042</c:v>
                </c:pt>
                <c:pt idx="7">
                  <c:v>0.0383275261324042</c:v>
                </c:pt>
                <c:pt idx="8">
                  <c:v>0.0313588850174216</c:v>
                </c:pt>
                <c:pt idx="9">
                  <c:v>0.0313588850174216</c:v>
                </c:pt>
                <c:pt idx="10">
                  <c:v>0.0278745644599303</c:v>
                </c:pt>
                <c:pt idx="11">
                  <c:v>0.0278745644599303</c:v>
                </c:pt>
                <c:pt idx="12">
                  <c:v>0.0278745644599303</c:v>
                </c:pt>
                <c:pt idx="13">
                  <c:v>0.0278745644599303</c:v>
                </c:pt>
                <c:pt idx="14">
                  <c:v>0.0278745644599303</c:v>
                </c:pt>
                <c:pt idx="15">
                  <c:v>0.024390243902439</c:v>
                </c:pt>
                <c:pt idx="16">
                  <c:v>0.024390243902439</c:v>
                </c:pt>
                <c:pt idx="17">
                  <c:v>0.0209059233449477</c:v>
                </c:pt>
                <c:pt idx="18">
                  <c:v>0.0209059233449477</c:v>
                </c:pt>
                <c:pt idx="19">
                  <c:v>0.0209059233449477</c:v>
                </c:pt>
                <c:pt idx="20">
                  <c:v>0.0174216027874564</c:v>
                </c:pt>
                <c:pt idx="21">
                  <c:v>0.0174216027874564</c:v>
                </c:pt>
                <c:pt idx="22">
                  <c:v>0.0139372822299652</c:v>
                </c:pt>
                <c:pt idx="23">
                  <c:v>0.0139372822299652</c:v>
                </c:pt>
                <c:pt idx="24">
                  <c:v>0.0139372822299652</c:v>
                </c:pt>
                <c:pt idx="25">
                  <c:v>0.0104529616724739</c:v>
                </c:pt>
                <c:pt idx="26">
                  <c:v>0.00696864111498258</c:v>
                </c:pt>
                <c:pt idx="27">
                  <c:v>0.00696864111498258</c:v>
                </c:pt>
                <c:pt idx="28">
                  <c:v>0.00696864111498258</c:v>
                </c:pt>
                <c:pt idx="29">
                  <c:v>0.00696864111498258</c:v>
                </c:pt>
                <c:pt idx="30">
                  <c:v>0.00348432055749129</c:v>
                </c:pt>
                <c:pt idx="31">
                  <c:v>0.00348432055749129</c:v>
                </c:pt>
                <c:pt idx="32">
                  <c:v>0.00348432055749129</c:v>
                </c:pt>
                <c:pt idx="33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94917632"/>
        <c:axId val="394918048"/>
      </c:lineChart>
      <c:catAx>
        <c:axId val="39489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4910560"/>
        <c:crosses val="autoZero"/>
        <c:auto val="1"/>
        <c:lblAlgn val="ctr"/>
        <c:lblOffset val="100"/>
        <c:noMultiLvlLbl val="0"/>
      </c:catAx>
      <c:valAx>
        <c:axId val="39491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4893920"/>
        <c:crosses val="autoZero"/>
        <c:crossBetween val="between"/>
      </c:valAx>
      <c:catAx>
        <c:axId val="3949176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4918048"/>
        <c:crosses val="autoZero"/>
        <c:auto val="1"/>
        <c:lblAlgn val="ctr"/>
        <c:lblOffset val="100"/>
        <c:noMultiLvlLbl val="0"/>
      </c:catAx>
      <c:valAx>
        <c:axId val="394918048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4917632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7013dd1-c0ee-4812-81e3-4e2f13759f46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D0D342-0B45-43AF-865B-8BA02F8887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2090</Words>
  <Characters>2463</Characters>
  <Lines>35</Lines>
  <Paragraphs>9</Paragraphs>
  <TotalTime>5</TotalTime>
  <ScaleCrop>false</ScaleCrop>
  <LinksUpToDate>false</LinksUpToDate>
  <CharactersWithSpaces>2607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2025-01-09T01:18:00Z</dcterms:created>
  <dc:creator>ooopic</dc:creator>
  <cp:lastModifiedBy>张宁</cp:lastModifiedBy>
  <cp:lastPrinted>2017-07-06T13:42:00Z</cp:lastPrinted>
  <dcterms:modified xsi:type="dcterms:W3CDTF">2025-11-03T08:01:30Z</dcterms:modified>
  <dc:title>阜新高等专科学校2024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57A94F366C1144D69ACD5ADBEADC4030_13</vt:lpwstr>
  </property>
  <property fmtid="{D5CDD505-2E9C-101B-9397-08002B2CF9AE}" pid="4" name="KSOTemplateDocerSaveRecord">
    <vt:lpwstr>eyJoZGlkIjoiNTcwMDA0NDNjNGYwM2FiODg4ZDFlNjI5N2FiODIwYjMiLCJ1c2VySWQiOiIxNTY4NzI0NzQ3In0=</vt:lpwstr>
  </property>
</Properties>
</file>