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4FD74">
      <w:pPr>
        <w:ind w:firstLine="0" w:firstLineChars="0"/>
        <w:jc w:val="center"/>
        <w:rPr>
          <w:rFonts w:hint="eastAsia" w:ascii="黑体" w:hAnsi="宋体" w:eastAsia="黑体"/>
          <w:b/>
          <w:sz w:val="44"/>
          <w:szCs w:val="44"/>
        </w:rPr>
      </w:pPr>
      <w:r>
        <w:rPr>
          <w:rFonts w:hint="eastAsia"/>
        </w:rPr>
        <w:drawing>
          <wp:anchor distT="0" distB="0" distL="114300" distR="114300" simplePos="0" relativeHeight="251660288" behindDoc="0" locked="0" layoutInCell="1" allowOverlap="1">
            <wp:simplePos x="0" y="0"/>
            <wp:positionH relativeFrom="column">
              <wp:posOffset>1170305</wp:posOffset>
            </wp:positionH>
            <wp:positionV relativeFrom="paragraph">
              <wp:posOffset>372745</wp:posOffset>
            </wp:positionV>
            <wp:extent cx="388620" cy="393065"/>
            <wp:effectExtent l="0" t="0" r="1905" b="6985"/>
            <wp:wrapNone/>
            <wp:docPr id="1" name="图片 2"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未标题-1"/>
                    <pic:cNvPicPr>
                      <a:picLocks noChangeAspect="1"/>
                    </pic:cNvPicPr>
                  </pic:nvPicPr>
                  <pic:blipFill>
                    <a:blip r:embed="rId6"/>
                    <a:stretch>
                      <a:fillRect/>
                    </a:stretch>
                  </pic:blipFill>
                  <pic:spPr>
                    <a:xfrm>
                      <a:off x="0" y="0"/>
                      <a:ext cx="388620" cy="393065"/>
                    </a:xfrm>
                    <a:prstGeom prst="rect">
                      <a:avLst/>
                    </a:prstGeom>
                    <a:noFill/>
                    <a:ln>
                      <a:noFill/>
                    </a:ln>
                  </pic:spPr>
                </pic:pic>
              </a:graphicData>
            </a:graphic>
          </wp:anchor>
        </w:drawing>
      </w:r>
    </w:p>
    <w:p w14:paraId="165C2A3D">
      <w:pPr>
        <w:ind w:firstLine="0" w:firstLineChars="0"/>
        <w:jc w:val="center"/>
        <w:rPr>
          <w:rFonts w:hint="eastAsia" w:ascii="黑体" w:hAnsi="宋体" w:eastAsia="黑体"/>
          <w:b/>
          <w:sz w:val="44"/>
          <w:szCs w:val="44"/>
        </w:rPr>
      </w:pPr>
      <w:r>
        <w:rPr>
          <w:rFonts w:hint="eastAsia" w:ascii="黑体" w:hAnsi="宋体" w:eastAsia="黑体"/>
          <w:b/>
          <w:sz w:val="44"/>
          <w:szCs w:val="44"/>
        </w:rPr>
        <w:t xml:space="preserve">  阜新高等专科学校</w:t>
      </w:r>
    </w:p>
    <w:p w14:paraId="67CD5631">
      <w:pPr>
        <w:ind w:firstLine="480"/>
        <w:rPr>
          <w:rFonts w:hint="eastAsia"/>
        </w:rPr>
      </w:pPr>
      <w:r>
        <mc:AlternateContent>
          <mc:Choice Requires="wps">
            <w:drawing>
              <wp:anchor distT="0" distB="0" distL="114300" distR="114300" simplePos="0" relativeHeight="251659264" behindDoc="0" locked="0" layoutInCell="1" allowOverlap="1">
                <wp:simplePos x="0" y="0"/>
                <wp:positionH relativeFrom="column">
                  <wp:posOffset>1037590</wp:posOffset>
                </wp:positionH>
                <wp:positionV relativeFrom="paragraph">
                  <wp:posOffset>107950</wp:posOffset>
                </wp:positionV>
                <wp:extent cx="3362960" cy="635"/>
                <wp:effectExtent l="0" t="9525" r="8890" b="18415"/>
                <wp:wrapNone/>
                <wp:docPr id="2" name="直接连接符 2"/>
                <wp:cNvGraphicFramePr/>
                <a:graphic xmlns:a="http://schemas.openxmlformats.org/drawingml/2006/main">
                  <a:graphicData uri="http://schemas.microsoft.com/office/word/2010/wordprocessingShape">
                    <wps:wsp>
                      <wps:cNvCnPr/>
                      <wps:spPr>
                        <a:xfrm flipV="1">
                          <a:off x="0" y="0"/>
                          <a:ext cx="3362960"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81.7pt;margin-top:8.5pt;height:0.05pt;width:264.8pt;z-index:251659264;mso-width-relative:page;mso-height-relative:page;" filled="f" stroked="t" coordsize="21600,21600" o:gfxdata="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3V7E6NQAAAAJAQAADwAAAAAAAAABACAAAAAiAAAAZHJzL2Rvd25yZXYueG1s&#10;UEsBAhQAFAAAAAgAh07iQPQDgWf8AQAA8QMAAA4AAAAAAAAAAQAgAAAAIwEAAGRycy9lMm9Eb2Mu&#10;eG1sUEsFBgAAAAAGAAYAWQEAAJEFAAAAAA==&#10;">
                <v:fill on="f" focussize="0,0"/>
                <v:stroke weight="1.5pt" color="#000000" joinstyle="round"/>
                <v:imagedata o:title=""/>
                <o:lock v:ext="edit" aspectratio="f"/>
              </v:line>
            </w:pict>
          </mc:Fallback>
        </mc:AlternateContent>
      </w:r>
      <w:r>
        <w:rPr>
          <w:rFonts w:hint="eastAsia"/>
        </w:rPr>
        <w:t xml:space="preserve"> </w:t>
      </w:r>
    </w:p>
    <w:p w14:paraId="2DE9C8AE">
      <w:pPr>
        <w:ind w:firstLine="0" w:firstLineChars="0"/>
        <w:rPr>
          <w:rFonts w:hint="eastAsia"/>
        </w:rPr>
      </w:pPr>
    </w:p>
    <w:p w14:paraId="5E444581">
      <w:pPr>
        <w:ind w:firstLine="0" w:firstLineChars="0"/>
        <w:jc w:val="center"/>
        <w:rPr>
          <w:rFonts w:hint="eastAsia"/>
        </w:rPr>
      </w:pPr>
    </w:p>
    <w:p w14:paraId="40700A07">
      <w:pPr>
        <w:ind w:firstLine="163" w:firstLineChars="45"/>
        <w:jc w:val="center"/>
        <w:rPr>
          <w:rFonts w:hint="eastAsia" w:ascii="黑体" w:eastAsia="黑体"/>
          <w:b/>
          <w:sz w:val="36"/>
          <w:szCs w:val="36"/>
        </w:rPr>
      </w:pPr>
    </w:p>
    <w:p w14:paraId="5704B025">
      <w:pPr>
        <w:ind w:firstLine="163" w:firstLineChars="45"/>
        <w:jc w:val="center"/>
        <w:rPr>
          <w:rFonts w:hint="eastAsia" w:ascii="黑体" w:eastAsia="黑体"/>
          <w:b/>
          <w:sz w:val="36"/>
          <w:szCs w:val="36"/>
        </w:rPr>
      </w:pPr>
    </w:p>
    <w:p w14:paraId="2323353C">
      <w:pPr>
        <w:ind w:firstLine="163" w:firstLineChars="45"/>
        <w:jc w:val="center"/>
        <w:rPr>
          <w:rFonts w:hint="eastAsia" w:ascii="黑体" w:eastAsia="黑体"/>
          <w:b/>
          <w:sz w:val="36"/>
          <w:szCs w:val="36"/>
        </w:rPr>
      </w:pPr>
    </w:p>
    <w:p w14:paraId="0ACC1CAF">
      <w:pPr>
        <w:ind w:firstLine="163" w:firstLineChars="45"/>
        <w:jc w:val="center"/>
        <w:rPr>
          <w:rFonts w:hint="eastAsia" w:ascii="黑体" w:eastAsia="黑体"/>
          <w:b/>
          <w:sz w:val="36"/>
          <w:szCs w:val="36"/>
        </w:rPr>
      </w:pPr>
      <w:r>
        <w:rPr>
          <w:rFonts w:hint="eastAsia" w:ascii="黑体" w:eastAsia="黑体"/>
          <w:b/>
          <w:sz w:val="36"/>
          <w:szCs w:val="36"/>
        </w:rPr>
        <w:t>《</w:t>
      </w:r>
      <w:r>
        <w:rPr>
          <w:rFonts w:hint="eastAsia" w:ascii="黑体" w:eastAsia="黑体"/>
          <w:b/>
          <w:sz w:val="36"/>
          <w:szCs w:val="36"/>
          <w:lang w:val="en-US" w:eastAsia="zh-CN"/>
        </w:rPr>
        <w:t>毛泽东思想和中国特色社会主义理论体系概论</w:t>
      </w:r>
      <w:r>
        <w:rPr>
          <w:rFonts w:hint="eastAsia" w:ascii="黑体" w:eastAsia="黑体"/>
          <w:b/>
          <w:sz w:val="36"/>
          <w:szCs w:val="36"/>
        </w:rPr>
        <w:t>》</w:t>
      </w:r>
    </w:p>
    <w:p w14:paraId="7A1D2DD0">
      <w:pPr>
        <w:ind w:firstLine="168" w:firstLineChars="38"/>
        <w:jc w:val="center"/>
        <w:rPr>
          <w:rFonts w:hint="default" w:ascii="黑体" w:eastAsia="黑体"/>
          <w:b/>
          <w:sz w:val="44"/>
          <w:szCs w:val="44"/>
          <w:lang w:val="en-US" w:eastAsia="zh-CN"/>
        </w:rPr>
      </w:pPr>
      <w:r>
        <w:rPr>
          <w:rFonts w:hint="eastAsia" w:ascii="黑体" w:eastAsia="黑体"/>
          <w:b/>
          <w:sz w:val="44"/>
          <w:szCs w:val="44"/>
          <w:lang w:val="en-US" w:eastAsia="zh-CN"/>
        </w:rPr>
        <w:t>教学大纲</w:t>
      </w:r>
    </w:p>
    <w:p w14:paraId="651B8963">
      <w:pPr>
        <w:ind w:firstLine="480"/>
        <w:jc w:val="center"/>
        <w:rPr>
          <w:rFonts w:hint="eastAsia"/>
        </w:rPr>
      </w:pPr>
    </w:p>
    <w:p w14:paraId="3ED66290">
      <w:pPr>
        <w:ind w:firstLine="480"/>
        <w:jc w:val="center"/>
        <w:rPr>
          <w:rFonts w:hint="eastAsia"/>
        </w:rPr>
      </w:pPr>
    </w:p>
    <w:p w14:paraId="4131B4C4">
      <w:pPr>
        <w:ind w:firstLine="0" w:firstLineChars="0"/>
        <w:rPr>
          <w:rFonts w:hint="eastAsia"/>
        </w:rPr>
      </w:pPr>
    </w:p>
    <w:p w14:paraId="7EE78864">
      <w:pPr>
        <w:ind w:firstLine="480"/>
        <w:jc w:val="center"/>
        <w:rPr>
          <w:rFonts w:hint="eastAsia"/>
        </w:rPr>
      </w:pPr>
    </w:p>
    <w:p w14:paraId="1673A721">
      <w:pPr>
        <w:spacing w:line="480" w:lineRule="auto"/>
        <w:ind w:firstLine="790" w:firstLineChars="246"/>
        <w:rPr>
          <w:rFonts w:hint="default" w:ascii="黑体" w:hAnsi="黑体" w:eastAsia="黑体"/>
          <w:sz w:val="32"/>
          <w:szCs w:val="32"/>
          <w:lang w:val="en-US" w:eastAsia="zh-CN"/>
        </w:rPr>
      </w:pPr>
      <w:r>
        <w:rPr>
          <w:rFonts w:hint="eastAsia" w:ascii="黑体" w:hAnsi="黑体" w:eastAsia="黑体"/>
          <w:b/>
          <w:sz w:val="32"/>
          <w:szCs w:val="32"/>
        </w:rPr>
        <w:t>适用专业：</w:t>
      </w:r>
      <w:r>
        <w:rPr>
          <w:rFonts w:hint="eastAsia" w:ascii="黑体" w:hAnsi="黑体" w:eastAsia="黑体"/>
          <w:lang w:val="en-US" w:eastAsia="zh-CN"/>
        </w:rPr>
        <w:t>高职三年制所有专业</w:t>
      </w:r>
    </w:p>
    <w:p w14:paraId="1A4187A3">
      <w:pPr>
        <w:spacing w:line="480" w:lineRule="auto"/>
        <w:ind w:firstLine="790" w:firstLineChars="246"/>
        <w:rPr>
          <w:rFonts w:hint="default" w:ascii="黑体" w:hAnsi="黑体" w:eastAsia="黑体"/>
          <w:sz w:val="32"/>
          <w:szCs w:val="32"/>
          <w:lang w:val="en-US" w:eastAsia="zh-CN"/>
        </w:rPr>
      </w:pPr>
      <w:r>
        <w:rPr>
          <w:rFonts w:hint="eastAsia" w:ascii="黑体" w:hAnsi="黑体" w:eastAsia="黑体"/>
          <w:b/>
          <w:sz w:val="32"/>
          <w:szCs w:val="32"/>
        </w:rPr>
        <w:t>编制单位：</w:t>
      </w:r>
      <w:r>
        <w:rPr>
          <w:rFonts w:hint="eastAsia" w:ascii="黑体" w:hAnsi="黑体" w:eastAsia="黑体"/>
          <w:lang w:val="en-US" w:eastAsia="zh-CN"/>
        </w:rPr>
        <w:t>思想政治教学部</w:t>
      </w:r>
    </w:p>
    <w:p w14:paraId="14E10B27">
      <w:pPr>
        <w:ind w:firstLine="803" w:firstLineChars="250"/>
        <w:rPr>
          <w:rFonts w:hint="eastAsia" w:ascii="黑体" w:hAnsi="黑体" w:eastAsia="黑体"/>
          <w:b/>
          <w:sz w:val="32"/>
          <w:szCs w:val="32"/>
        </w:rPr>
      </w:pPr>
      <w:r>
        <w:rPr>
          <w:rFonts w:hint="eastAsia" w:ascii="黑体" w:hAnsi="黑体" w:eastAsia="黑体"/>
          <w:b/>
          <w:sz w:val="32"/>
          <w:szCs w:val="32"/>
        </w:rPr>
        <w:t>编制日期：  202</w:t>
      </w:r>
      <w:r>
        <w:rPr>
          <w:rFonts w:hint="eastAsia" w:ascii="黑体" w:hAnsi="黑体" w:eastAsia="黑体"/>
          <w:b/>
          <w:sz w:val="32"/>
          <w:szCs w:val="32"/>
          <w:lang w:val="en-US" w:eastAsia="zh-CN"/>
        </w:rPr>
        <w:t>3</w:t>
      </w:r>
      <w:r>
        <w:rPr>
          <w:rFonts w:hint="eastAsia" w:ascii="黑体" w:hAnsi="黑体" w:eastAsia="黑体"/>
          <w:b/>
          <w:sz w:val="32"/>
          <w:szCs w:val="32"/>
        </w:rPr>
        <w:t xml:space="preserve">   年   9 月   </w:t>
      </w:r>
      <w:r>
        <w:rPr>
          <w:rFonts w:hint="eastAsia" w:ascii="黑体" w:hAnsi="黑体" w:eastAsia="黑体"/>
          <w:b/>
          <w:sz w:val="32"/>
          <w:szCs w:val="32"/>
          <w:lang w:val="en-US" w:eastAsia="zh-CN"/>
        </w:rPr>
        <w:t>15</w:t>
      </w:r>
      <w:r>
        <w:rPr>
          <w:rFonts w:hint="eastAsia" w:ascii="黑体" w:hAnsi="黑体" w:eastAsia="黑体"/>
          <w:b/>
          <w:sz w:val="32"/>
          <w:szCs w:val="32"/>
        </w:rPr>
        <w:t xml:space="preserve"> 日</w:t>
      </w:r>
    </w:p>
    <w:p w14:paraId="6417767D">
      <w:pPr>
        <w:ind w:firstLine="803" w:firstLineChars="250"/>
        <w:rPr>
          <w:rFonts w:hint="eastAsia" w:ascii="黑体" w:hAnsi="黑体" w:eastAsia="黑体"/>
          <w:b/>
          <w:sz w:val="32"/>
          <w:szCs w:val="32"/>
        </w:rPr>
      </w:pPr>
      <w:bookmarkStart w:id="0" w:name="_GoBack"/>
      <w:bookmarkEnd w:id="0"/>
    </w:p>
    <w:p w14:paraId="65C06A68">
      <w:pPr>
        <w:ind w:firstLine="803" w:firstLineChars="250"/>
        <w:rPr>
          <w:rFonts w:hint="eastAsia" w:ascii="黑体" w:hAnsi="黑体" w:eastAsia="黑体"/>
          <w:b/>
          <w:sz w:val="32"/>
          <w:szCs w:val="32"/>
        </w:rPr>
      </w:pPr>
    </w:p>
    <w:p w14:paraId="155B6927">
      <w:pPr>
        <w:ind w:firstLine="803" w:firstLineChars="250"/>
        <w:rPr>
          <w:rFonts w:hint="eastAsia" w:ascii="黑体" w:hAnsi="黑体" w:eastAsia="黑体"/>
          <w:b/>
          <w:sz w:val="32"/>
          <w:szCs w:val="32"/>
        </w:rPr>
      </w:pPr>
    </w:p>
    <w:p w14:paraId="7CCBA5D3">
      <w:pPr>
        <w:ind w:firstLine="803" w:firstLineChars="250"/>
        <w:rPr>
          <w:rFonts w:hint="eastAsia" w:ascii="黑体" w:hAnsi="黑体" w:eastAsia="黑体"/>
          <w:b/>
          <w:sz w:val="32"/>
          <w:szCs w:val="32"/>
        </w:rPr>
      </w:pPr>
    </w:p>
    <w:p w14:paraId="0E9502E4">
      <w:pPr>
        <w:ind w:firstLine="803" w:firstLineChars="250"/>
        <w:rPr>
          <w:rFonts w:hint="eastAsia" w:ascii="黑体" w:hAnsi="黑体" w:eastAsia="黑体"/>
          <w:b/>
          <w:sz w:val="32"/>
          <w:szCs w:val="32"/>
        </w:rPr>
      </w:pPr>
    </w:p>
    <w:p w14:paraId="10A14180">
      <w:pPr>
        <w:ind w:firstLine="803" w:firstLineChars="250"/>
        <w:rPr>
          <w:rFonts w:hint="eastAsia" w:ascii="黑体" w:hAnsi="黑体" w:eastAsia="黑体"/>
          <w:b/>
          <w:sz w:val="32"/>
          <w:szCs w:val="32"/>
        </w:rPr>
      </w:pPr>
    </w:p>
    <w:p w14:paraId="7FAC3427">
      <w:pPr>
        <w:ind w:firstLine="803" w:firstLineChars="250"/>
        <w:rPr>
          <w:rFonts w:hint="eastAsia" w:ascii="黑体" w:hAnsi="黑体" w:eastAsia="黑体"/>
          <w:b/>
          <w:sz w:val="32"/>
          <w:szCs w:val="32"/>
        </w:rPr>
      </w:pPr>
    </w:p>
    <w:p w14:paraId="2CB60EE9">
      <w:pPr>
        <w:keepNext w:val="0"/>
        <w:keepLines w:val="0"/>
        <w:pageBreakBefore w:val="0"/>
        <w:widowControl/>
        <w:kinsoku/>
        <w:wordWrap/>
        <w:overflowPunct/>
        <w:topLinePunct w:val="0"/>
        <w:autoSpaceDE/>
        <w:autoSpaceDN/>
        <w:bidi w:val="0"/>
        <w:adjustRightInd/>
        <w:snapToGrid w:val="0"/>
        <w:spacing w:before="313" w:beforeLines="100" w:line="360" w:lineRule="auto"/>
        <w:ind w:left="0" w:leftChars="0" w:firstLine="480" w:firstLineChars="200"/>
        <w:jc w:val="left"/>
        <w:textAlignment w:val="auto"/>
        <w:rPr>
          <w:rFonts w:hint="default" w:ascii="黑体" w:hAnsi="黑体" w:eastAsia="黑体"/>
          <w:sz w:val="24"/>
          <w:lang w:val="en-US" w:eastAsia="zh-CN"/>
        </w:rPr>
      </w:pPr>
      <w:r>
        <w:rPr>
          <w:rFonts w:hint="eastAsia" w:ascii="黑体" w:hAnsi="黑体" w:eastAsia="黑体"/>
          <w:sz w:val="24"/>
          <w:lang w:val="en-US" w:eastAsia="zh-CN"/>
        </w:rPr>
        <w:t>一、课程基本信息</w:t>
      </w:r>
    </w:p>
    <w:tbl>
      <w:tblPr>
        <w:tblStyle w:val="4"/>
        <w:tblpPr w:leftFromText="180" w:rightFromText="180" w:vertAnchor="text" w:horzAnchor="page" w:tblpX="1829" w:tblpY="105"/>
        <w:tblOverlap w:val="never"/>
        <w:tblW w:w="89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1622"/>
        <w:gridCol w:w="1543"/>
        <w:gridCol w:w="1570"/>
        <w:gridCol w:w="1387"/>
        <w:gridCol w:w="1565"/>
      </w:tblGrid>
      <w:tr w14:paraId="2D37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83" w:type="dxa"/>
            <w:tcBorders>
              <w:top w:val="single" w:color="auto" w:sz="4" w:space="0"/>
              <w:left w:val="single" w:color="auto" w:sz="4" w:space="0"/>
              <w:bottom w:val="single" w:color="auto" w:sz="4" w:space="0"/>
              <w:right w:val="single" w:color="auto" w:sz="4" w:space="0"/>
            </w:tcBorders>
            <w:vAlign w:val="center"/>
          </w:tcPr>
          <w:p w14:paraId="0BE49D4F">
            <w:pPr>
              <w:ind w:left="0" w:leftChars="0" w:firstLine="0" w:firstLineChars="0"/>
              <w:jc w:val="both"/>
              <w:rPr>
                <w:rFonts w:ascii="黑体" w:hAnsi="黑体" w:eastAsia="黑体"/>
              </w:rPr>
            </w:pPr>
            <w:r>
              <w:rPr>
                <w:rFonts w:hint="eastAsia" w:ascii="黑体" w:hAnsi="黑体" w:eastAsia="黑体"/>
              </w:rPr>
              <w:t>课程名称</w:t>
            </w:r>
          </w:p>
        </w:tc>
        <w:tc>
          <w:tcPr>
            <w:tcW w:w="7687" w:type="dxa"/>
            <w:gridSpan w:val="5"/>
            <w:tcBorders>
              <w:top w:val="single" w:color="auto" w:sz="4" w:space="0"/>
              <w:left w:val="single" w:color="auto" w:sz="4" w:space="0"/>
              <w:bottom w:val="single" w:color="auto" w:sz="4" w:space="0"/>
              <w:right w:val="single" w:color="auto" w:sz="4" w:space="0"/>
            </w:tcBorders>
            <w:vAlign w:val="center"/>
          </w:tcPr>
          <w:p w14:paraId="0604990E">
            <w:pPr>
              <w:rPr>
                <w:rFonts w:asciiTheme="minorEastAsia" w:hAnsiTheme="minorEastAsia" w:eastAsiaTheme="minorEastAsia"/>
              </w:rPr>
            </w:pPr>
            <w:r>
              <w:rPr>
                <w:rFonts w:hint="eastAsia" w:ascii="宋体" w:hAnsi="宋体" w:eastAsia="宋体" w:cs="宋体"/>
              </w:rPr>
              <w:t>毛泽东思想和中国特色社会主义理论体系概论</w:t>
            </w:r>
          </w:p>
        </w:tc>
      </w:tr>
      <w:tr w14:paraId="5ACF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83" w:type="dxa"/>
            <w:tcBorders>
              <w:top w:val="single" w:color="auto" w:sz="4" w:space="0"/>
              <w:left w:val="single" w:color="auto" w:sz="4" w:space="0"/>
              <w:bottom w:val="single" w:color="auto" w:sz="4" w:space="0"/>
              <w:right w:val="single" w:color="auto" w:sz="4" w:space="0"/>
            </w:tcBorders>
            <w:vAlign w:val="center"/>
          </w:tcPr>
          <w:p w14:paraId="7E73D820">
            <w:pPr>
              <w:ind w:left="0" w:leftChars="0" w:firstLine="0" w:firstLineChars="0"/>
              <w:rPr>
                <w:rFonts w:ascii="黑体" w:hAnsi="黑体" w:eastAsia="黑体"/>
              </w:rPr>
            </w:pPr>
            <w:r>
              <w:rPr>
                <w:rFonts w:hint="eastAsia" w:ascii="黑体" w:hAnsi="黑体" w:eastAsia="黑体"/>
              </w:rPr>
              <w:t>课程性质</w:t>
            </w:r>
          </w:p>
        </w:tc>
        <w:tc>
          <w:tcPr>
            <w:tcW w:w="3165" w:type="dxa"/>
            <w:gridSpan w:val="2"/>
            <w:tcBorders>
              <w:top w:val="single" w:color="auto" w:sz="4" w:space="0"/>
              <w:left w:val="single" w:color="auto" w:sz="4" w:space="0"/>
              <w:bottom w:val="single" w:color="auto" w:sz="4" w:space="0"/>
              <w:right w:val="single" w:color="auto" w:sz="4" w:space="0"/>
            </w:tcBorders>
            <w:vAlign w:val="center"/>
          </w:tcPr>
          <w:p w14:paraId="009B7A11">
            <w:pPr>
              <w:ind w:firstLine="480" w:firstLineChars="200"/>
              <w:rPr>
                <w:rFonts w:asciiTheme="minorEastAsia" w:hAnsiTheme="minorEastAsia" w:eastAsiaTheme="minorEastAsia"/>
              </w:rPr>
            </w:pPr>
            <w:r>
              <w:rPr>
                <w:rFonts w:hint="eastAsia" w:ascii="宋体" w:hAnsi="宋体" w:eastAsia="宋体" w:cs="宋体"/>
                <w:vertAlign w:val="baseline"/>
                <w:lang w:val="en-US" w:eastAsia="zh-CN"/>
              </w:rPr>
              <w:t>必</w:t>
            </w:r>
            <w:r>
              <w:rPr>
                <w:rFonts w:hint="eastAsia" w:ascii="宋体" w:hAnsi="宋体" w:cs="宋体"/>
                <w:vertAlign w:val="baseline"/>
                <w:lang w:val="en-US" w:eastAsia="zh-CN"/>
              </w:rPr>
              <w:t>修</w:t>
            </w:r>
          </w:p>
        </w:tc>
        <w:tc>
          <w:tcPr>
            <w:tcW w:w="1570" w:type="dxa"/>
            <w:tcBorders>
              <w:top w:val="single" w:color="auto" w:sz="4" w:space="0"/>
              <w:left w:val="single" w:color="auto" w:sz="4" w:space="0"/>
              <w:bottom w:val="single" w:color="auto" w:sz="4" w:space="0"/>
              <w:right w:val="single" w:color="auto" w:sz="4" w:space="0"/>
            </w:tcBorders>
            <w:vAlign w:val="center"/>
          </w:tcPr>
          <w:p w14:paraId="01CA511F">
            <w:pPr>
              <w:ind w:left="0" w:leftChars="0" w:firstLine="0" w:firstLineChars="0"/>
              <w:jc w:val="center"/>
              <w:rPr>
                <w:rFonts w:hint="eastAsia" w:ascii="黑体" w:hAnsi="黑体" w:eastAsia="黑体"/>
                <w:lang w:val="en-US" w:eastAsia="zh-CN"/>
              </w:rPr>
            </w:pPr>
            <w:r>
              <w:rPr>
                <w:rFonts w:hint="eastAsia" w:ascii="黑体" w:hAnsi="黑体" w:eastAsia="黑体"/>
              </w:rPr>
              <w:t>开课部</w:t>
            </w:r>
            <w:r>
              <w:rPr>
                <w:rFonts w:hint="eastAsia" w:ascii="黑体" w:hAnsi="黑体" w:eastAsia="黑体"/>
                <w:lang w:val="en-US" w:eastAsia="zh-CN"/>
              </w:rPr>
              <w:t>门</w:t>
            </w:r>
          </w:p>
        </w:tc>
        <w:tc>
          <w:tcPr>
            <w:tcW w:w="2952" w:type="dxa"/>
            <w:gridSpan w:val="2"/>
            <w:tcBorders>
              <w:top w:val="single" w:color="auto" w:sz="4" w:space="0"/>
              <w:left w:val="single" w:color="auto" w:sz="4" w:space="0"/>
              <w:bottom w:val="single" w:color="auto" w:sz="4" w:space="0"/>
              <w:right w:val="single" w:color="auto" w:sz="4" w:space="0"/>
            </w:tcBorders>
            <w:vAlign w:val="center"/>
          </w:tcPr>
          <w:p w14:paraId="1579A53C">
            <w:pPr>
              <w:ind w:left="0" w:leftChars="0" w:firstLine="480" w:firstLineChars="200"/>
              <w:jc w:val="both"/>
              <w:rPr>
                <w:rFonts w:hint="default" w:asciiTheme="minorEastAsia" w:hAnsiTheme="minorEastAsia" w:eastAsiaTheme="minorEastAsia"/>
                <w:color w:val="00B050"/>
                <w:lang w:val="en-US"/>
              </w:rPr>
            </w:pPr>
            <w:r>
              <w:rPr>
                <w:rFonts w:hint="eastAsia" w:ascii="宋体" w:hAnsi="宋体" w:cs="宋体"/>
                <w:vertAlign w:val="baseline"/>
                <w:lang w:val="en-US" w:eastAsia="zh-CN"/>
              </w:rPr>
              <w:t>思想政治教学部</w:t>
            </w:r>
          </w:p>
        </w:tc>
      </w:tr>
      <w:tr w14:paraId="2E24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283" w:type="dxa"/>
            <w:tcBorders>
              <w:top w:val="single" w:color="auto" w:sz="4" w:space="0"/>
              <w:left w:val="single" w:color="auto" w:sz="4" w:space="0"/>
              <w:bottom w:val="single" w:color="auto" w:sz="4" w:space="0"/>
              <w:right w:val="single" w:color="auto" w:sz="4" w:space="0"/>
            </w:tcBorders>
            <w:vAlign w:val="center"/>
          </w:tcPr>
          <w:p w14:paraId="4BCD3ABD">
            <w:pPr>
              <w:ind w:left="0" w:leftChars="0" w:firstLine="0" w:firstLineChars="0"/>
              <w:jc w:val="both"/>
              <w:rPr>
                <w:rFonts w:ascii="黑体" w:hAnsi="黑体" w:eastAsia="黑体"/>
              </w:rPr>
            </w:pPr>
            <w:r>
              <w:rPr>
                <w:rFonts w:hint="eastAsia" w:ascii="黑体" w:hAnsi="黑体" w:eastAsia="黑体"/>
              </w:rPr>
              <w:t>授课学期</w:t>
            </w:r>
          </w:p>
        </w:tc>
        <w:tc>
          <w:tcPr>
            <w:tcW w:w="1622" w:type="dxa"/>
            <w:tcBorders>
              <w:top w:val="single" w:color="auto" w:sz="4" w:space="0"/>
              <w:left w:val="single" w:color="auto" w:sz="4" w:space="0"/>
              <w:bottom w:val="single" w:color="auto" w:sz="4" w:space="0"/>
              <w:right w:val="single" w:color="auto" w:sz="4" w:space="0"/>
            </w:tcBorders>
            <w:vAlign w:val="center"/>
          </w:tcPr>
          <w:p w14:paraId="4AE66C33">
            <w:pPr>
              <w:ind w:left="0" w:leftChars="0" w:firstLine="0" w:firstLineChars="0"/>
              <w:jc w:val="center"/>
              <w:rPr>
                <w:rFonts w:asciiTheme="minorEastAsia" w:hAnsiTheme="minorEastAsia" w:eastAsiaTheme="minorEastAsia"/>
                <w:color w:val="00B050"/>
              </w:rPr>
            </w:pPr>
            <w:r>
              <w:rPr>
                <w:rFonts w:hint="eastAsia" w:ascii="宋体" w:hAnsi="宋体" w:eastAsia="宋体" w:cs="宋体"/>
              </w:rPr>
              <w:t>第</w:t>
            </w:r>
            <w:r>
              <w:rPr>
                <w:rFonts w:hint="eastAsia" w:ascii="宋体" w:hAnsi="宋体" w:eastAsia="宋体" w:cs="宋体"/>
                <w:spacing w:val="-51"/>
              </w:rPr>
              <w:t xml:space="preserve"> </w:t>
            </w:r>
            <w:r>
              <w:rPr>
                <w:rFonts w:hint="eastAsia" w:ascii="宋体" w:hAnsi="宋体" w:cs="宋体"/>
                <w:lang w:val="en-US" w:eastAsia="zh-CN"/>
              </w:rPr>
              <w:t>2</w:t>
            </w:r>
            <w:r>
              <w:rPr>
                <w:rFonts w:hint="eastAsia" w:ascii="宋体" w:hAnsi="宋体" w:eastAsia="宋体" w:cs="宋体"/>
              </w:rPr>
              <w:t>学期</w:t>
            </w:r>
          </w:p>
        </w:tc>
        <w:tc>
          <w:tcPr>
            <w:tcW w:w="1543" w:type="dxa"/>
            <w:tcBorders>
              <w:top w:val="single" w:color="auto" w:sz="4" w:space="0"/>
              <w:left w:val="single" w:color="auto" w:sz="4" w:space="0"/>
              <w:bottom w:val="single" w:color="auto" w:sz="4" w:space="0"/>
              <w:right w:val="single" w:color="auto" w:sz="4" w:space="0"/>
            </w:tcBorders>
            <w:vAlign w:val="center"/>
          </w:tcPr>
          <w:p w14:paraId="33BC83FA">
            <w:pPr>
              <w:ind w:left="0" w:leftChars="0" w:firstLine="0" w:firstLineChars="0"/>
              <w:jc w:val="center"/>
              <w:rPr>
                <w:rFonts w:hint="eastAsia" w:cs="Times New Roman" w:asciiTheme="minorEastAsia" w:hAnsiTheme="minorEastAsia" w:eastAsiaTheme="minorEastAsia"/>
                <w:color w:val="00B050"/>
                <w:kern w:val="2"/>
                <w:sz w:val="24"/>
                <w:szCs w:val="24"/>
                <w:lang w:val="en-US" w:eastAsia="zh-CN" w:bidi="ar-SA"/>
              </w:rPr>
            </w:pPr>
            <w:r>
              <w:rPr>
                <w:rFonts w:hint="eastAsia" w:ascii="黑体" w:hAnsi="黑体" w:eastAsia="黑体"/>
              </w:rPr>
              <w:t>学分/学时</w:t>
            </w:r>
          </w:p>
        </w:tc>
        <w:tc>
          <w:tcPr>
            <w:tcW w:w="1570" w:type="dxa"/>
            <w:tcBorders>
              <w:top w:val="single" w:color="auto" w:sz="4" w:space="0"/>
              <w:left w:val="single" w:color="auto" w:sz="4" w:space="0"/>
              <w:bottom w:val="single" w:color="auto" w:sz="4" w:space="0"/>
              <w:right w:val="single" w:color="auto" w:sz="4" w:space="0"/>
            </w:tcBorders>
            <w:vAlign w:val="center"/>
          </w:tcPr>
          <w:p w14:paraId="1A87F021">
            <w:pPr>
              <w:ind w:left="0" w:leftChars="0" w:firstLine="480" w:firstLineChars="200"/>
              <w:rPr>
                <w:rFonts w:hint="eastAsia" w:ascii="宋体" w:hAnsi="宋体" w:eastAsia="宋体" w:cs="宋体"/>
                <w:kern w:val="2"/>
                <w:sz w:val="24"/>
                <w:szCs w:val="24"/>
                <w:lang w:val="en-US" w:eastAsia="zh-CN" w:bidi="ar-SA"/>
              </w:rPr>
            </w:pPr>
            <w:r>
              <w:rPr>
                <w:rFonts w:hint="eastAsia" w:ascii="宋体" w:hAnsi="宋体" w:cs="宋体"/>
                <w:lang w:val="en-US" w:eastAsia="zh-CN"/>
              </w:rPr>
              <w:t>2</w:t>
            </w:r>
            <w:r>
              <w:rPr>
                <w:rFonts w:hint="eastAsia" w:ascii="宋体" w:hAnsi="宋体" w:eastAsia="宋体" w:cs="宋体"/>
              </w:rPr>
              <w:t>/</w:t>
            </w:r>
            <w:r>
              <w:rPr>
                <w:rFonts w:hint="eastAsia" w:ascii="宋体" w:hAnsi="宋体" w:cs="宋体"/>
                <w:lang w:val="en-US" w:eastAsia="zh-CN"/>
              </w:rPr>
              <w:t>36</w:t>
            </w:r>
          </w:p>
        </w:tc>
        <w:tc>
          <w:tcPr>
            <w:tcW w:w="1387" w:type="dxa"/>
            <w:tcBorders>
              <w:top w:val="single" w:color="auto" w:sz="4" w:space="0"/>
              <w:left w:val="single" w:color="auto" w:sz="4" w:space="0"/>
              <w:bottom w:val="single" w:color="auto" w:sz="4" w:space="0"/>
              <w:right w:val="single" w:color="auto" w:sz="4" w:space="0"/>
            </w:tcBorders>
            <w:vAlign w:val="center"/>
          </w:tcPr>
          <w:p w14:paraId="3601AB0A">
            <w:pPr>
              <w:ind w:left="0" w:leftChars="0" w:firstLine="0" w:firstLineChars="0"/>
              <w:jc w:val="center"/>
              <w:rPr>
                <w:rFonts w:hint="default" w:ascii="黑体" w:hAnsi="黑体" w:eastAsia="黑体" w:cs="Times New Roman"/>
                <w:kern w:val="2"/>
                <w:sz w:val="24"/>
                <w:szCs w:val="24"/>
                <w:lang w:val="en-US" w:eastAsia="zh-CN" w:bidi="ar-SA"/>
              </w:rPr>
            </w:pPr>
            <w:r>
              <w:rPr>
                <w:rFonts w:hint="eastAsia" w:ascii="黑体" w:hAnsi="黑体" w:eastAsia="黑体"/>
              </w:rPr>
              <w:t>课内学时</w:t>
            </w:r>
          </w:p>
        </w:tc>
        <w:tc>
          <w:tcPr>
            <w:tcW w:w="1565" w:type="dxa"/>
            <w:tcBorders>
              <w:top w:val="single" w:color="auto" w:sz="4" w:space="0"/>
              <w:left w:val="single" w:color="auto" w:sz="4" w:space="0"/>
              <w:bottom w:val="single" w:color="auto" w:sz="4" w:space="0"/>
              <w:right w:val="single" w:color="auto" w:sz="4" w:space="0"/>
            </w:tcBorders>
            <w:vAlign w:val="center"/>
          </w:tcPr>
          <w:p w14:paraId="503ADC55">
            <w:pPr>
              <w:spacing w:line="240" w:lineRule="exact"/>
              <w:ind w:left="0" w:leftChars="0" w:firstLine="480" w:firstLineChars="200"/>
              <w:jc w:val="both"/>
              <w:rPr>
                <w:rFonts w:hint="eastAsia" w:cs="Times New Roman" w:asciiTheme="minorEastAsia" w:hAnsiTheme="minorEastAsia" w:eastAsiaTheme="minorEastAsia"/>
                <w:w w:val="90"/>
                <w:kern w:val="2"/>
                <w:sz w:val="24"/>
                <w:szCs w:val="24"/>
                <w:lang w:val="en-US" w:eastAsia="zh-CN" w:bidi="ar-SA"/>
              </w:rPr>
            </w:pPr>
            <w:r>
              <w:rPr>
                <w:rFonts w:hint="eastAsia" w:ascii="宋体" w:hAnsi="宋体" w:cs="宋体"/>
                <w:vertAlign w:val="baseline"/>
                <w:lang w:val="en-US" w:eastAsia="zh-CN"/>
              </w:rPr>
              <w:t>36</w:t>
            </w:r>
          </w:p>
        </w:tc>
      </w:tr>
      <w:tr w14:paraId="3908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83" w:type="dxa"/>
            <w:tcBorders>
              <w:top w:val="single" w:color="auto" w:sz="4" w:space="0"/>
              <w:left w:val="single" w:color="auto" w:sz="4" w:space="0"/>
              <w:bottom w:val="single" w:color="auto" w:sz="4" w:space="0"/>
              <w:right w:val="single" w:color="auto" w:sz="4" w:space="0"/>
            </w:tcBorders>
            <w:vAlign w:val="center"/>
          </w:tcPr>
          <w:p w14:paraId="14037EB3">
            <w:pPr>
              <w:ind w:left="0" w:leftChars="0" w:firstLine="0" w:firstLineChars="0"/>
              <w:jc w:val="both"/>
              <w:rPr>
                <w:rFonts w:ascii="黑体" w:hAnsi="黑体" w:eastAsia="黑体"/>
              </w:rPr>
            </w:pPr>
            <w:r>
              <w:rPr>
                <w:rFonts w:hint="eastAsia" w:ascii="黑体" w:hAnsi="黑体" w:eastAsia="黑体"/>
              </w:rPr>
              <w:t>适用专业</w:t>
            </w:r>
          </w:p>
        </w:tc>
        <w:tc>
          <w:tcPr>
            <w:tcW w:w="7687" w:type="dxa"/>
            <w:gridSpan w:val="5"/>
            <w:tcBorders>
              <w:top w:val="single" w:color="auto" w:sz="4" w:space="0"/>
              <w:left w:val="single" w:color="auto" w:sz="4" w:space="0"/>
              <w:bottom w:val="single" w:color="auto" w:sz="4" w:space="0"/>
              <w:right w:val="single" w:color="auto" w:sz="4" w:space="0"/>
            </w:tcBorders>
            <w:vAlign w:val="center"/>
          </w:tcPr>
          <w:p w14:paraId="6C159E80">
            <w:pPr>
              <w:rPr>
                <w:rFonts w:hint="eastAsia" w:asciiTheme="minorEastAsia" w:hAnsiTheme="minorEastAsia" w:eastAsiaTheme="minorEastAsia"/>
                <w:color w:val="00B050"/>
                <w:lang w:eastAsia="zh-CN"/>
              </w:rPr>
            </w:pPr>
            <w:r>
              <w:rPr>
                <w:rFonts w:hint="eastAsia" w:ascii="宋体" w:hAnsi="宋体" w:eastAsia="宋体" w:cs="宋体"/>
              </w:rPr>
              <w:t>全校各专业</w:t>
            </w:r>
          </w:p>
        </w:tc>
      </w:tr>
      <w:tr w14:paraId="24C1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283" w:type="dxa"/>
            <w:tcBorders>
              <w:top w:val="single" w:color="auto" w:sz="4" w:space="0"/>
              <w:left w:val="single" w:color="auto" w:sz="4" w:space="0"/>
              <w:bottom w:val="single" w:color="auto" w:sz="4" w:space="0"/>
              <w:right w:val="single" w:color="auto" w:sz="4" w:space="0"/>
            </w:tcBorders>
            <w:vAlign w:val="center"/>
          </w:tcPr>
          <w:p w14:paraId="15F0B6FA">
            <w:pPr>
              <w:ind w:left="0" w:leftChars="0" w:firstLine="0" w:firstLineChars="0"/>
              <w:jc w:val="both"/>
              <w:rPr>
                <w:rFonts w:hint="eastAsia" w:ascii="黑体" w:hAnsi="黑体" w:eastAsia="黑体" w:cs="Times New Roman"/>
              </w:rPr>
            </w:pPr>
            <w:r>
              <w:rPr>
                <w:rFonts w:hint="eastAsia" w:ascii="黑体" w:hAnsi="黑体" w:eastAsia="黑体" w:cs="Times New Roman"/>
              </w:rPr>
              <w:t>对先修的</w:t>
            </w:r>
          </w:p>
          <w:p w14:paraId="7DD73390">
            <w:pPr>
              <w:ind w:left="0" w:leftChars="0" w:firstLine="0" w:firstLineChars="0"/>
              <w:jc w:val="center"/>
              <w:rPr>
                <w:rFonts w:hint="eastAsia" w:cs="Times New Roman" w:asciiTheme="minorEastAsia" w:hAnsiTheme="minorEastAsia" w:eastAsiaTheme="minorEastAsia"/>
              </w:rPr>
            </w:pPr>
            <w:r>
              <w:rPr>
                <w:rFonts w:hint="eastAsia" w:ascii="黑体" w:hAnsi="黑体" w:eastAsia="黑体" w:cs="Times New Roman"/>
              </w:rPr>
              <w:t>要求</w:t>
            </w:r>
          </w:p>
        </w:tc>
        <w:tc>
          <w:tcPr>
            <w:tcW w:w="7687" w:type="dxa"/>
            <w:gridSpan w:val="5"/>
            <w:tcBorders>
              <w:top w:val="single" w:color="auto" w:sz="4" w:space="0"/>
              <w:left w:val="single" w:color="auto" w:sz="4" w:space="0"/>
              <w:bottom w:val="single" w:color="auto" w:sz="4" w:space="0"/>
              <w:right w:val="single" w:color="auto" w:sz="4" w:space="0"/>
            </w:tcBorders>
            <w:vAlign w:val="center"/>
          </w:tcPr>
          <w:p w14:paraId="4FA1FCC3">
            <w:pPr>
              <w:ind w:left="0" w:leftChars="0" w:firstLine="0" w:firstLineChars="0"/>
              <w:rPr>
                <w:rFonts w:hint="eastAsia" w:cs="Times New Roman" w:asciiTheme="minorEastAsia" w:hAnsiTheme="minorEastAsia" w:eastAsiaTheme="minorEastAsia"/>
                <w:lang w:val="en-US" w:eastAsia="zh-CN"/>
              </w:rPr>
            </w:pPr>
            <w:r>
              <w:rPr>
                <w:rFonts w:hint="eastAsia" w:cs="Times New Roman" w:asciiTheme="minorEastAsia" w:hAnsiTheme="minorEastAsia" w:eastAsiaTheme="minorEastAsia"/>
                <w:lang w:val="en-US" w:eastAsia="zh-CN"/>
              </w:rPr>
              <w:t>先修主要课程：思想道德与法治</w:t>
            </w:r>
          </w:p>
          <w:p w14:paraId="27C0B47E">
            <w:pPr>
              <w:ind w:left="0" w:leftChars="0" w:firstLine="0" w:firstLineChars="0"/>
              <w:rPr>
                <w:rFonts w:hint="eastAsia" w:cs="Times New Roman" w:asciiTheme="minorEastAsia" w:hAnsiTheme="minorEastAsia" w:eastAsiaTheme="minorEastAsia"/>
              </w:rPr>
            </w:pPr>
            <w:r>
              <w:rPr>
                <w:rFonts w:hint="eastAsia" w:cs="Times New Roman" w:asciiTheme="minorEastAsia" w:hAnsiTheme="minorEastAsia" w:eastAsiaTheme="minorEastAsia"/>
                <w:lang w:val="en-US" w:eastAsia="zh-CN"/>
              </w:rPr>
              <w:t>要求：帮助学生了解中国近现代历史，从整体把握马克思主义基本原理</w:t>
            </w:r>
          </w:p>
        </w:tc>
      </w:tr>
      <w:tr w14:paraId="1ED1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83" w:type="dxa"/>
            <w:tcBorders>
              <w:top w:val="single" w:color="auto" w:sz="4" w:space="0"/>
              <w:left w:val="single" w:color="auto" w:sz="4" w:space="0"/>
              <w:bottom w:val="single" w:color="auto" w:sz="4" w:space="0"/>
              <w:right w:val="single" w:color="auto" w:sz="4" w:space="0"/>
            </w:tcBorders>
            <w:vAlign w:val="center"/>
          </w:tcPr>
          <w:p w14:paraId="0545E059">
            <w:pPr>
              <w:ind w:left="0" w:leftChars="0" w:firstLine="0" w:firstLineChars="0"/>
              <w:jc w:val="center"/>
              <w:rPr>
                <w:rFonts w:ascii="黑体" w:hAnsi="黑体" w:eastAsia="黑体"/>
              </w:rPr>
            </w:pPr>
            <w:r>
              <w:rPr>
                <w:rFonts w:hint="eastAsia" w:ascii="黑体" w:hAnsi="黑体" w:eastAsia="黑体"/>
              </w:rPr>
              <w:t>对后续的支撑</w:t>
            </w:r>
          </w:p>
        </w:tc>
        <w:tc>
          <w:tcPr>
            <w:tcW w:w="7687" w:type="dxa"/>
            <w:gridSpan w:val="5"/>
            <w:tcBorders>
              <w:top w:val="single" w:color="auto" w:sz="4" w:space="0"/>
              <w:left w:val="single" w:color="auto" w:sz="4" w:space="0"/>
              <w:bottom w:val="single" w:color="auto" w:sz="4" w:space="0"/>
              <w:right w:val="single" w:color="auto" w:sz="4" w:space="0"/>
            </w:tcBorders>
            <w:vAlign w:val="center"/>
          </w:tcPr>
          <w:p w14:paraId="4BC6DEE9">
            <w:pPr>
              <w:jc w:val="left"/>
              <w:rPr>
                <w:rFonts w:asciiTheme="minorEastAsia" w:hAnsiTheme="minorEastAsia" w:eastAsiaTheme="minorEastAsia"/>
              </w:rPr>
            </w:pPr>
            <w:r>
              <w:rPr>
                <w:rFonts w:hint="eastAsia" w:ascii="宋体" w:hAnsi="宋体" w:eastAsia="宋体" w:cs="宋体"/>
              </w:rPr>
              <w:t>从整体上把握马克思主义中国化</w:t>
            </w:r>
            <w:r>
              <w:rPr>
                <w:rFonts w:hint="eastAsia" w:ascii="宋体" w:hAnsi="宋体" w:cs="宋体"/>
                <w:lang w:val="en-US" w:eastAsia="zh-CN"/>
              </w:rPr>
              <w:t>时代化</w:t>
            </w:r>
            <w:r>
              <w:rPr>
                <w:rFonts w:hint="eastAsia" w:ascii="宋体" w:hAnsi="宋体" w:eastAsia="宋体" w:cs="宋体"/>
              </w:rPr>
              <w:t>的进程，把握新时代党的创新理论、基本路线、方针、政策，树立四个自信，更好把握中国的国情</w:t>
            </w:r>
            <w:r>
              <w:rPr>
                <w:rFonts w:hint="eastAsia" w:ascii="宋体" w:hAnsi="宋体" w:cs="宋体"/>
                <w:lang w:eastAsia="zh-CN"/>
              </w:rPr>
              <w:t>。</w:t>
            </w:r>
          </w:p>
        </w:tc>
      </w:tr>
    </w:tbl>
    <w:p w14:paraId="2D776AEC">
      <w:pPr>
        <w:keepNext w:val="0"/>
        <w:keepLines w:val="0"/>
        <w:pageBreakBefore w:val="0"/>
        <w:widowControl w:val="0"/>
        <w:numPr>
          <w:ilvl w:val="0"/>
          <w:numId w:val="0"/>
        </w:numPr>
        <w:kinsoku/>
        <w:wordWrap/>
        <w:overflowPunct/>
        <w:topLinePunct w:val="0"/>
        <w:autoSpaceDE/>
        <w:autoSpaceDN/>
        <w:bidi w:val="0"/>
        <w:adjustRightInd/>
        <w:snapToGrid/>
        <w:spacing w:before="313" w:beforeLines="100"/>
        <w:ind w:firstLine="480" w:firstLineChars="200"/>
        <w:textAlignment w:val="auto"/>
        <w:rPr>
          <w:rFonts w:hint="eastAsia" w:ascii="黑体" w:hAnsi="黑体" w:eastAsia="黑体" w:cs="Times New Roman"/>
          <w:sz w:val="24"/>
          <w:lang w:val="en-US" w:eastAsia="zh-CN"/>
        </w:rPr>
      </w:pPr>
      <w:r>
        <w:rPr>
          <w:rFonts w:hint="eastAsia" w:ascii="黑体" w:hAnsi="黑体" w:eastAsia="黑体" w:cs="Times New Roman"/>
          <w:sz w:val="24"/>
          <w:lang w:val="en-US" w:eastAsia="zh-CN"/>
        </w:rPr>
        <w:t>二、课程定位</w:t>
      </w:r>
    </w:p>
    <w:p w14:paraId="3B7AF81F">
      <w:pPr>
        <w:jc w:val="left"/>
        <w:rPr>
          <w:rFonts w:hint="eastAsia" w:ascii="宋体" w:hAnsi="宋体" w:eastAsia="宋体" w:cs="宋体"/>
          <w:lang w:val="en-US" w:eastAsia="zh-CN"/>
        </w:rPr>
      </w:pPr>
      <w:r>
        <w:rPr>
          <w:rFonts w:hint="default" w:ascii="宋体" w:hAnsi="宋体" w:eastAsia="宋体" w:cs="宋体"/>
          <w:lang w:val="en-US" w:eastAsia="zh-CN"/>
        </w:rPr>
        <w:t>《毛泽东思想和中国特色社会主义理论体系概论》课是中共中央宣传部和国家教育部规定的高职院校思想政治理论教育课程中的骨干和核心课程。本课程在培养学生了解国情，增长才干、奉献社会，锻炼能力、培养品格，增强社会责任感具有不可替代的作用。旨在帮助学生正确认识马克思主义中国化的理论成果及其在指导中国革命和建设中的重要历史地位和作用，掌握中国化马克思主义的基本理论和精神实质，正确认识社会发展规律，认识国家的前途和命运，认识自己的社会责任，培养学生确立科学社会主义信仰和建设中国特色社会主义的共同理想，增强执行党的基本路线和基本纲领的自觉性和坚定性，承担起对大学生进行系统的马克思主义理论教育的任务。</w:t>
      </w:r>
    </w:p>
    <w:p w14:paraId="3BA79616">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480" w:leftChars="0"/>
        <w:textAlignment w:val="auto"/>
        <w:rPr>
          <w:rFonts w:hint="default" w:ascii="黑体" w:hAnsi="黑体" w:eastAsia="黑体" w:cs="Times New Roman"/>
          <w:sz w:val="24"/>
          <w:lang w:val="en-US" w:eastAsia="zh-CN"/>
        </w:rPr>
      </w:pPr>
      <w:r>
        <w:rPr>
          <w:rFonts w:hint="eastAsia" w:ascii="黑体" w:hAnsi="黑体" w:eastAsia="黑体" w:cs="Times New Roman"/>
          <w:sz w:val="24"/>
          <w:lang w:val="en-US" w:eastAsia="zh-CN"/>
        </w:rPr>
        <w:t>三、教学目的</w:t>
      </w:r>
    </w:p>
    <w:p w14:paraId="286B8F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本课程的学习，使学生理解毛泽东思想和中国特色社会主义理论体系都是马克思主义与当代中国实际和时代特征相结合的产物，掌握中国化马克思主义的基本理论、基本路线、基本纲领、基本经验，树立建设中国特色社会主义的坚定信念，提高政治理论素养和观察能力，能够运用所学理论正确认识、分析、解决当前我国存在的经济、政治、文化、社会诸方面的矛盾与问题。</w:t>
      </w:r>
    </w:p>
    <w:p w14:paraId="51A6AC06">
      <w:pPr>
        <w:jc w:val="left"/>
        <w:rPr>
          <w:rFonts w:hint="default" w:ascii="宋体" w:hAnsi="宋体" w:eastAsia="宋体" w:cs="宋体"/>
          <w:lang w:val="en-US" w:eastAsia="zh-CN"/>
        </w:rPr>
        <w:sectPr>
          <w:pgSz w:w="11906" w:h="16838"/>
          <w:pgMar w:top="1440" w:right="1800" w:bottom="1440" w:left="1800" w:header="851" w:footer="992" w:gutter="0"/>
          <w:cols w:space="425" w:num="1"/>
          <w:docGrid w:type="lines" w:linePitch="312" w:charSpace="0"/>
        </w:sectPr>
      </w:pPr>
    </w:p>
    <w:p w14:paraId="2D47023A">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480" w:firstLineChars="200"/>
        <w:textAlignment w:val="auto"/>
        <w:rPr>
          <w:rFonts w:hint="eastAsia" w:ascii="黑体" w:hAnsi="黑体" w:eastAsia="黑体" w:cs="Times New Roman"/>
          <w:sz w:val="24"/>
          <w:lang w:val="en-US" w:eastAsia="zh-CN"/>
        </w:rPr>
      </w:pPr>
      <w:r>
        <w:rPr>
          <w:rFonts w:hint="eastAsia" w:ascii="黑体" w:hAnsi="黑体" w:eastAsia="黑体" w:cs="Times New Roman"/>
          <w:sz w:val="24"/>
          <w:lang w:val="en-US" w:eastAsia="zh-CN"/>
        </w:rPr>
        <w:t>四、课程内容/课程目标</w:t>
      </w:r>
    </w:p>
    <w:p w14:paraId="5B73876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黑体" w:hAnsi="黑体" w:eastAsia="黑体" w:cs="Times New Roman"/>
          <w:sz w:val="24"/>
          <w:lang w:val="en-US" w:eastAsia="zh-CN"/>
        </w:rPr>
      </w:pPr>
      <w:r>
        <w:rPr>
          <w:rFonts w:hint="eastAsia" w:ascii="黑体" w:hAnsi="黑体" w:eastAsia="黑体" w:cs="Times New Roman"/>
          <w:sz w:val="24"/>
          <w:lang w:val="en-US" w:eastAsia="zh-CN"/>
        </w:rPr>
        <w:t xml:space="preserve">    （一）教学体系及教学重难点</w:t>
      </w:r>
    </w:p>
    <w:tbl>
      <w:tblPr>
        <w:tblStyle w:val="3"/>
        <w:tblpPr w:leftFromText="180" w:rightFromText="180" w:vertAnchor="text" w:horzAnchor="page" w:tblpX="1420" w:tblpY="258"/>
        <w:tblOverlap w:val="never"/>
        <w:tblW w:w="14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300"/>
        <w:gridCol w:w="2587"/>
        <w:gridCol w:w="5670"/>
        <w:gridCol w:w="4843"/>
      </w:tblGrid>
      <w:tr w14:paraId="3CDD9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trPr>
        <w:tc>
          <w:tcPr>
            <w:tcW w:w="130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3F3ED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单元</w:t>
            </w: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11D3D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课题</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4C78C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教学重点</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EA269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教学难点</w:t>
            </w:r>
          </w:p>
        </w:tc>
      </w:tr>
      <w:tr w14:paraId="6322A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30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B16A9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left"/>
              <w:textAlignment w:val="auto"/>
              <w:rPr>
                <w:color w:val="333333"/>
                <w:sz w:val="21"/>
                <w:szCs w:val="21"/>
              </w:rPr>
            </w:pPr>
            <w:r>
              <w:rPr>
                <w:b/>
                <w:bCs/>
                <w:color w:val="333333"/>
                <w:sz w:val="21"/>
                <w:szCs w:val="21"/>
              </w:rPr>
              <w:t>导论</w:t>
            </w: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4C5537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马克思主义中国化时代化的历史逬程与理论成果</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8F5F4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马克思主义中国化时代化的科学内涵；马克思主义中国化时代化历史进程与“四个成就”之间的关系</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7F6B3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马克思主义中国化时代化的必然性；马克思主义中国化时代化主要理论成果之间的关系</w:t>
            </w:r>
          </w:p>
        </w:tc>
      </w:tr>
      <w:tr w14:paraId="540A6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0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C8ED2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color w:val="333333"/>
                <w:sz w:val="21"/>
                <w:szCs w:val="21"/>
              </w:rPr>
            </w:pPr>
            <w:r>
              <w:rPr>
                <w:b/>
                <w:bCs/>
                <w:color w:val="333333"/>
                <w:sz w:val="21"/>
                <w:szCs w:val="21"/>
              </w:rPr>
              <w:t>第一单元</w:t>
            </w:r>
          </w:p>
          <w:p w14:paraId="7E54D9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毛泽东思想</w:t>
            </w: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DE567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毛泽东思想及其历史地位</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D599C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毛泽东思想形成发展的历史条件；毛泽东思想的科学体系</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1092D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毛泽东思想是马克思主义中国化时代化的第一次历史性飞跃；正确评价毛泽东和毛泽东思想</w:t>
            </w:r>
          </w:p>
        </w:tc>
      </w:tr>
      <w:tr w14:paraId="72CB7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308A0A9">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sz w:val="21"/>
                <w:szCs w:val="21"/>
              </w:rPr>
            </w:pP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3A8E1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新民主主义革命理论</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DF39E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近代中国国情；中国革命新道路理论；新民主主义革命总路线和基本纲领</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6E7339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新民主主义革命性质；三大法宝</w:t>
            </w:r>
          </w:p>
        </w:tc>
      </w:tr>
      <w:tr w14:paraId="16DCB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04D344D">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sz w:val="21"/>
                <w:szCs w:val="21"/>
              </w:rPr>
            </w:pP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6D73E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社会主义改造理论</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60F84A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党在过渡时期总路线的含义；社会主义基本制度确立的重大意义</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D9D05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新中国成立后从新民主主义向社会主义过渡的必然性；社会主义改造和社会主义改革的关系</w:t>
            </w:r>
          </w:p>
        </w:tc>
      </w:tr>
      <w:tr w14:paraId="7641A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0C83375">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sz w:val="21"/>
                <w:szCs w:val="21"/>
              </w:rPr>
            </w:pP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B51BA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社会主义建设道路初步探索的理论成果</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A460E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初步探索的重要理论成果、初步探索经验教训与意义</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895BF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走中国工业化道路的探索及其对中国式现代化的启示</w:t>
            </w:r>
          </w:p>
        </w:tc>
      </w:tr>
      <w:tr w14:paraId="7E612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0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3EE7B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color w:val="333333"/>
                <w:sz w:val="21"/>
                <w:szCs w:val="21"/>
              </w:rPr>
            </w:pPr>
            <w:r>
              <w:rPr>
                <w:rFonts w:ascii="Times New Roman" w:hAnsi="Times New Roman" w:cs="Times New Roman"/>
                <w:b/>
                <w:bCs/>
                <w:color w:val="333333"/>
                <w:sz w:val="21"/>
                <w:szCs w:val="21"/>
              </w:rPr>
              <w:t>第二单元</w:t>
            </w:r>
          </w:p>
          <w:p w14:paraId="68D6C6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中国特色社会主义理论体系</w:t>
            </w: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0BB9C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中国特色社会主义理论体系的形成发展过程</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2D0C8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left"/>
              <w:textAlignment w:val="auto"/>
              <w:rPr>
                <w:color w:val="333333"/>
                <w:sz w:val="21"/>
                <w:szCs w:val="21"/>
              </w:rPr>
            </w:pPr>
            <w:r>
              <w:rPr>
                <w:color w:val="333333"/>
                <w:sz w:val="21"/>
                <w:szCs w:val="21"/>
              </w:rPr>
              <w:t>中国特色社会主义理论体系形成发展的社会历史条件；中国特色社会主义理论体系的形成发展过程</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47878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中国特色社会主义理论体系是马克思主义中国化时代化的新飞跃</w:t>
            </w:r>
          </w:p>
        </w:tc>
      </w:tr>
      <w:tr w14:paraId="1A7B0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EC0726D">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sz w:val="21"/>
                <w:szCs w:val="21"/>
              </w:rPr>
            </w:pP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2FA33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邓小平理论</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63F475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left"/>
              <w:textAlignment w:val="auto"/>
              <w:rPr>
                <w:color w:val="333333"/>
                <w:sz w:val="21"/>
                <w:szCs w:val="21"/>
              </w:rPr>
            </w:pPr>
            <w:r>
              <w:rPr>
                <w:color w:val="333333"/>
                <w:sz w:val="21"/>
                <w:szCs w:val="21"/>
              </w:rPr>
              <w:t>社会主义初级阶段论；社会主义本质论；社会主义改革开放论；社会主义市场经济论</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313A8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邓小平理论的精髓；邓小平理论的基本问题；邓小平理论的现实指导意义</w:t>
            </w:r>
          </w:p>
        </w:tc>
      </w:tr>
      <w:tr w14:paraId="41D78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3D13F29">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sz w:val="21"/>
                <w:szCs w:val="21"/>
              </w:rPr>
            </w:pP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4E7197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“三个代表”重要思想</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35CC3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“三个代表”重要思想的核心观点与主要内容；“三个代表”重要思想的现实指导意义</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3CB35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“三个代表”重要思想的科学体系</w:t>
            </w:r>
          </w:p>
        </w:tc>
      </w:tr>
      <w:tr w14:paraId="7A718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4FA334C7">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sz w:val="21"/>
                <w:szCs w:val="21"/>
              </w:rPr>
            </w:pPr>
          </w:p>
        </w:tc>
        <w:tc>
          <w:tcPr>
            <w:tcW w:w="258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5EB64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color w:val="333333"/>
                <w:sz w:val="21"/>
                <w:szCs w:val="21"/>
              </w:rPr>
            </w:pPr>
            <w:r>
              <w:rPr>
                <w:color w:val="333333"/>
                <w:sz w:val="21"/>
                <w:szCs w:val="21"/>
              </w:rPr>
              <w:t>科学发展观</w:t>
            </w:r>
          </w:p>
        </w:tc>
        <w:tc>
          <w:tcPr>
            <w:tcW w:w="567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C508C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科学发展观的科学内涵科学发展观的主要内容</w:t>
            </w:r>
          </w:p>
        </w:tc>
        <w:tc>
          <w:tcPr>
            <w:tcW w:w="484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AF1FB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20" w:firstLineChars="200"/>
              <w:jc w:val="left"/>
              <w:textAlignment w:val="auto"/>
              <w:rPr>
                <w:color w:val="333333"/>
                <w:sz w:val="21"/>
                <w:szCs w:val="21"/>
              </w:rPr>
            </w:pPr>
            <w:r>
              <w:rPr>
                <w:color w:val="333333"/>
                <w:sz w:val="21"/>
                <w:szCs w:val="21"/>
              </w:rPr>
              <w:t>科学发展观的精神实质</w:t>
            </w:r>
          </w:p>
        </w:tc>
      </w:tr>
    </w:tbl>
    <w:p w14:paraId="27393EDE">
      <w:pPr>
        <w:numPr>
          <w:ilvl w:val="0"/>
          <w:numId w:val="1"/>
        </w:numPr>
        <w:ind w:left="600" w:leftChars="0" w:firstLine="0" w:firstLineChars="0"/>
        <w:jc w:val="left"/>
        <w:rPr>
          <w:rFonts w:hint="eastAsia" w:ascii="黑体" w:hAnsi="黑体" w:eastAsia="黑体" w:cs="Times New Roman"/>
          <w:sz w:val="24"/>
          <w:lang w:val="en-US" w:eastAsia="zh-CN"/>
        </w:rPr>
      </w:pPr>
      <w:r>
        <w:rPr>
          <w:rFonts w:hint="eastAsia" w:ascii="黑体" w:hAnsi="黑体" w:eastAsia="黑体" w:cs="Times New Roman"/>
          <w:sz w:val="24"/>
          <w:lang w:val="en-US" w:eastAsia="zh-CN"/>
        </w:rPr>
        <w:t>教学目标</w:t>
      </w:r>
    </w:p>
    <w:tbl>
      <w:tblPr>
        <w:tblStyle w:val="3"/>
        <w:tblpPr w:leftFromText="180" w:rightFromText="180" w:vertAnchor="text" w:horzAnchor="page" w:tblpX="1220" w:tblpY="207"/>
        <w:tblOverlap w:val="never"/>
        <w:tblW w:w="14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25"/>
        <w:gridCol w:w="1777"/>
        <w:gridCol w:w="4710"/>
        <w:gridCol w:w="3533"/>
        <w:gridCol w:w="3795"/>
      </w:tblGrid>
      <w:tr w14:paraId="20775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561A9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序号</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46D96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内容单元</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D22D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知识目标</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634B8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能力目标</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97EBA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情感目标</w:t>
            </w:r>
          </w:p>
        </w:tc>
      </w:tr>
      <w:tr w14:paraId="00406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55" w:hRule="atLeast"/>
        </w:trPr>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BC130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20769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导论</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B4FD6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理解提出马克思主义中国化时代化时的必然性</w:t>
            </w:r>
          </w:p>
          <w:p w14:paraId="1105DA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马克思主义中国化时代化的科学内涵</w:t>
            </w:r>
          </w:p>
          <w:p w14:paraId="22D784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3.</w:t>
            </w:r>
            <w:r>
              <w:rPr>
                <w:rFonts w:ascii="Times New Roman" w:hAnsi="Times New Roman" w:cs="Times New Roman"/>
                <w:color w:val="333333"/>
                <w:sz w:val="24"/>
                <w:szCs w:val="24"/>
              </w:rPr>
              <w:t>马克思主义中国化时代化的历史进程</w:t>
            </w:r>
          </w:p>
          <w:p w14:paraId="2C34A2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4.</w:t>
            </w:r>
            <w:r>
              <w:rPr>
                <w:rFonts w:ascii="Times New Roman" w:hAnsi="Times New Roman" w:cs="Times New Roman"/>
                <w:color w:val="333333"/>
                <w:sz w:val="24"/>
                <w:szCs w:val="24"/>
              </w:rPr>
              <w:t>马克思主义中国化时代化的理论成果及其关系</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1A48D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提升运用中国化时代化马克思主义的立场、观点和方法去认识、分析与解决问题的能力。</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5DF1D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感悟中国共产党为什么能，中国特色社会主义为什么好，归根到底是马克思主义行，是中国化时代化的马克思主义行。</w:t>
            </w:r>
          </w:p>
        </w:tc>
      </w:tr>
      <w:tr w14:paraId="50FF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5" w:hRule="atLeast"/>
        </w:trPr>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152E7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DDA2C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毛泽东思想及其历史地位</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907AE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了解毛泽东思想产生的社会历史条件</w:t>
            </w:r>
          </w:p>
          <w:p w14:paraId="0D0121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掌握毛泽东思想的、主要内容和活的灵魂</w:t>
            </w:r>
          </w:p>
          <w:p w14:paraId="0210AC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3.</w:t>
            </w:r>
            <w:r>
              <w:rPr>
                <w:rFonts w:ascii="Times New Roman" w:hAnsi="Times New Roman" w:cs="Times New Roman"/>
                <w:color w:val="333333"/>
                <w:sz w:val="24"/>
                <w:szCs w:val="24"/>
              </w:rPr>
              <w:t>正确认识毛泽东思想的历史地位和指导意义</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D7E40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掌握科学评价毛泽东和毛泽东思想的原则方法，自觉抵制“非毛化”错误思潮，树立正确的历史观。</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F2BF9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牢固树立毛泽东思想的历史地位不可动摇，使其内化为行动和思想的自觉。</w:t>
            </w:r>
          </w:p>
        </w:tc>
      </w:tr>
      <w:tr w14:paraId="69D0F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16E39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3</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A5EE5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新民主主义革命理论</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450883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了解新民主主义革命理论形成的主要依据</w:t>
            </w:r>
          </w:p>
          <w:p w14:paraId="68457A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掌握新民主主义革命的总路线和基本纲领</w:t>
            </w:r>
          </w:p>
          <w:p w14:paraId="0740ED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3.</w:t>
            </w:r>
            <w:r>
              <w:rPr>
                <w:rFonts w:ascii="Times New Roman" w:hAnsi="Times New Roman" w:cs="Times New Roman"/>
                <w:color w:val="333333"/>
                <w:sz w:val="24"/>
                <w:szCs w:val="24"/>
              </w:rPr>
              <w:t>理解新民主主义革命道路理论</w:t>
            </w:r>
          </w:p>
          <w:p w14:paraId="1DE92E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4.</w:t>
            </w:r>
            <w:r>
              <w:rPr>
                <w:rFonts w:ascii="Times New Roman" w:hAnsi="Times New Roman" w:cs="Times New Roman"/>
                <w:color w:val="333333"/>
                <w:sz w:val="24"/>
                <w:szCs w:val="24"/>
              </w:rPr>
              <w:t>把握新民主主义革命的基本经验</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E7BEA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提升学生学党史、悟思想的历史思维能力。</w:t>
            </w:r>
          </w:p>
          <w:p w14:paraId="2E4BFF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通过对中国革命新道路开辟的学习培养学生的创新思维能力。</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5552F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做到让红色基因、革命薪火代代传</w:t>
            </w:r>
            <w:r>
              <w:rPr>
                <w:rFonts w:hint="eastAsia" w:ascii="Times New Roman" w:hAnsi="Times New Roman" w:cs="Times New Roman"/>
                <w:color w:val="333333"/>
                <w:sz w:val="24"/>
                <w:szCs w:val="24"/>
              </w:rPr>
              <w:t>,</w:t>
            </w:r>
            <w:r>
              <w:rPr>
                <w:rFonts w:ascii="Times New Roman" w:hAnsi="Times New Roman" w:cs="Times New Roman"/>
                <w:color w:val="333333"/>
                <w:sz w:val="24"/>
                <w:szCs w:val="24"/>
              </w:rPr>
              <w:t>不断筑牢对党绝对忠诚的思想根基。</w:t>
            </w:r>
          </w:p>
          <w:p w14:paraId="26330A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体会中国新道路探索之艰辛与曲折，从而“牢记初心，不忘使命”</w:t>
            </w:r>
          </w:p>
        </w:tc>
      </w:tr>
      <w:tr w14:paraId="0584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8" w:hRule="atLeast"/>
        </w:trPr>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27FA1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4</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38FAB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社会主义改造理论</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D7A61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了解新民主主义社会的性质</w:t>
            </w:r>
          </w:p>
          <w:p w14:paraId="70444A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把握党在过渡时期的总路线形成过程与内涵</w:t>
            </w:r>
          </w:p>
          <w:p w14:paraId="6D401E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3.</w:t>
            </w:r>
            <w:r>
              <w:rPr>
                <w:rFonts w:ascii="Times New Roman" w:hAnsi="Times New Roman" w:cs="Times New Roman"/>
                <w:color w:val="333333"/>
                <w:sz w:val="24"/>
                <w:szCs w:val="24"/>
              </w:rPr>
              <w:t>掌握社会主义基本制度确立的重大意义</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4B87B6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提高学生在历史和理论学习的基础上正确评价社会主义改造问题的能力。</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207C7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使学生懂得中国选择走社会主义道路历史的必然性，从而增强对社会主义的制度自信。</w:t>
            </w:r>
          </w:p>
        </w:tc>
      </w:tr>
      <w:tr w14:paraId="338D7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A67A1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序号</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5E943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内容单元</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5222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知识目标</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319CB8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能力目标</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289CB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情感目标</w:t>
            </w:r>
          </w:p>
        </w:tc>
      </w:tr>
      <w:tr w14:paraId="745AC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0" w:hRule="atLeast"/>
        </w:trPr>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4CD81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5</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F18FC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社会主义建设道路初步探索的理论成果</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FDDCA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掌握社会主义建设初步探索的理论成果</w:t>
            </w:r>
          </w:p>
          <w:p w14:paraId="490013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了解社会主义建设初步探索的意义</w:t>
            </w:r>
          </w:p>
          <w:p w14:paraId="21FAF0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3.</w:t>
            </w:r>
            <w:r>
              <w:rPr>
                <w:rFonts w:ascii="Times New Roman" w:hAnsi="Times New Roman" w:cs="Times New Roman"/>
                <w:color w:val="333333"/>
                <w:sz w:val="24"/>
                <w:szCs w:val="24"/>
              </w:rPr>
              <w:t>理解社会主义建设初步探索的经验教训</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56A5C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能根据对“改革开放前后两个历史时期的关系”的分析思考，提高辩证思维能力。</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61030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能够明白和理解社会主义建设道路初步探索的经验教训，相信我们党是敢于直面问题、勇于修正错误的决心和勇气。</w:t>
            </w:r>
          </w:p>
        </w:tc>
      </w:tr>
      <w:tr w14:paraId="52B0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7" w:hRule="atLeast"/>
        </w:trPr>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6E5D0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6</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1639D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中国特色社会主义理论体系的形成发展</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F22E0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了解中国特色社会主义理论体系形成发展的条件与过程</w:t>
            </w:r>
          </w:p>
          <w:p w14:paraId="52025F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掌握中国特色社会主义理论体系的主要内容</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63F7BF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增强运用中国特色社会主义理论体系蕴含的世界观、方法论解决实际问题的能力。</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4AE0F0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增强高举中国特色社会主义伟大旗帜的自觉性和坚定性。</w:t>
            </w:r>
          </w:p>
        </w:tc>
      </w:tr>
      <w:tr w14:paraId="527E2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7" w:hRule="atLeast"/>
        </w:trPr>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052A0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7</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F4881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邓小平理论</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7AA04E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了解邓小平理论的基本问题和精髓</w:t>
            </w:r>
          </w:p>
          <w:p w14:paraId="2AF792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理解邓小平理论的主要内容</w:t>
            </w:r>
          </w:p>
          <w:p w14:paraId="69F06E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3.</w:t>
            </w:r>
            <w:r>
              <w:rPr>
                <w:rFonts w:ascii="Times New Roman" w:hAnsi="Times New Roman" w:cs="Times New Roman"/>
                <w:color w:val="333333"/>
                <w:sz w:val="24"/>
                <w:szCs w:val="24"/>
              </w:rPr>
              <w:t>把握邓小平理论的历史地位</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8F010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运用邓小平理论中的立场观点方法解决实际问题的能力。</w:t>
            </w:r>
          </w:p>
          <w:p w14:paraId="4E51F2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学习邓小平创新思维，提高战略思维能力。</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9C0DF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体会邓小平为核心党的第二代领导集体对中国特色社会主义道路的成功开辟，坚定走中国特色社会主义道路的自觉性和坚定性。</w:t>
            </w:r>
          </w:p>
        </w:tc>
      </w:tr>
      <w:tr w14:paraId="51642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41" w:hRule="atLeast"/>
        </w:trPr>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57A85A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8</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4ECF97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“三个代表”重要思想</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97A38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了解“三个代表”重要思想的核心要义</w:t>
            </w:r>
          </w:p>
          <w:p w14:paraId="0C8234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理解“三个代表”重要思想的主要内容</w:t>
            </w:r>
          </w:p>
          <w:p w14:paraId="32324B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3.</w:t>
            </w:r>
            <w:r>
              <w:rPr>
                <w:rFonts w:ascii="Times New Roman" w:hAnsi="Times New Roman" w:cs="Times New Roman"/>
                <w:color w:val="333333"/>
                <w:sz w:val="24"/>
                <w:szCs w:val="24"/>
              </w:rPr>
              <w:t>掌握“三个代表”重要思想的历史地位</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FC6AD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提高运用“三个代表”重要思想指导学习、工作、生活的能力。</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6CF240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养成学生与时俱进的精神。</w:t>
            </w:r>
          </w:p>
          <w:p w14:paraId="50A5B6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使学生从内心真正认同“三个代表”重要思想。</w:t>
            </w:r>
          </w:p>
        </w:tc>
      </w:tr>
      <w:tr w14:paraId="3820F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95" w:hRule="atLeast"/>
        </w:trPr>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5B144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9</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2B0FD1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科学发展观</w:t>
            </w:r>
          </w:p>
        </w:tc>
        <w:tc>
          <w:tcPr>
            <w:tcW w:w="4710"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1D809E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1.</w:t>
            </w:r>
            <w:r>
              <w:rPr>
                <w:rFonts w:ascii="Times New Roman" w:hAnsi="Times New Roman" w:cs="Times New Roman"/>
                <w:color w:val="333333"/>
                <w:sz w:val="24"/>
                <w:szCs w:val="24"/>
              </w:rPr>
              <w:t>了解科学发展观的科学内涵</w:t>
            </w:r>
          </w:p>
          <w:p w14:paraId="2AD010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2.</w:t>
            </w:r>
            <w:r>
              <w:rPr>
                <w:rFonts w:ascii="Times New Roman" w:hAnsi="Times New Roman" w:cs="Times New Roman"/>
                <w:color w:val="333333"/>
                <w:sz w:val="24"/>
                <w:szCs w:val="24"/>
              </w:rPr>
              <w:t>掌握科学发展观的主要内容</w:t>
            </w:r>
          </w:p>
          <w:p w14:paraId="0D67D0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rPr>
              <w:t>3.</w:t>
            </w:r>
            <w:r>
              <w:rPr>
                <w:rFonts w:ascii="Times New Roman" w:hAnsi="Times New Roman" w:cs="Times New Roman"/>
                <w:color w:val="333333"/>
                <w:sz w:val="24"/>
                <w:szCs w:val="24"/>
              </w:rPr>
              <w:t>把握科学发展观的历史地位</w:t>
            </w:r>
          </w:p>
        </w:tc>
        <w:tc>
          <w:tcPr>
            <w:tcW w:w="3533"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4383DC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提高运用马克思主义关于发展的世界观和方法论指导学习、工作、生活的能力。</w:t>
            </w:r>
          </w:p>
        </w:tc>
        <w:tc>
          <w:tcPr>
            <w:tcW w:w="3795" w:type="dxa"/>
            <w:tcBorders>
              <w:top w:val="single" w:color="000000" w:sz="4" w:space="0"/>
              <w:left w:val="single" w:color="000000" w:sz="4" w:space="0"/>
              <w:bottom w:val="single" w:color="000000" w:sz="4" w:space="0"/>
              <w:right w:val="single" w:color="000000" w:sz="4" w:space="0"/>
            </w:tcBorders>
            <w:shd w:val="clear" w:color="auto" w:fill="FFFFFF"/>
            <w:noWrap w:val="0"/>
            <w:tcMar>
              <w:top w:w="60" w:type="dxa"/>
              <w:left w:w="120" w:type="dxa"/>
              <w:bottom w:w="60" w:type="dxa"/>
              <w:right w:w="120" w:type="dxa"/>
            </w:tcMar>
            <w:vAlign w:val="center"/>
          </w:tcPr>
          <w:p w14:paraId="07777D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ascii="Times New Roman" w:hAnsi="Times New Roman" w:cs="Times New Roman"/>
                <w:color w:val="333333"/>
                <w:sz w:val="24"/>
                <w:szCs w:val="24"/>
              </w:rPr>
              <w:t>使学生自觉树立科学发展观、自觉践行科学发展观。</w:t>
            </w:r>
          </w:p>
        </w:tc>
      </w:tr>
    </w:tbl>
    <w:p w14:paraId="552F93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hint="default" w:ascii="Times New Roman" w:hAnsi="Times New Roman" w:cs="Times New Roman"/>
          <w:color w:val="333333"/>
          <w:sz w:val="24"/>
          <w:szCs w:val="24"/>
          <w:lang w:val="en-US" w:eastAsia="zh-CN"/>
        </w:rPr>
      </w:pPr>
    </w:p>
    <w:p w14:paraId="3701DD64">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480" w:firstLineChars="200"/>
        <w:textAlignment w:val="auto"/>
        <w:rPr>
          <w:rFonts w:hint="eastAsia" w:ascii="黑体" w:hAnsi="黑体" w:eastAsia="黑体" w:cs="Times New Roman"/>
          <w:sz w:val="24"/>
          <w:lang w:val="en-US" w:eastAsia="zh-CN"/>
        </w:rPr>
      </w:pPr>
      <w:r>
        <w:rPr>
          <w:rFonts w:hint="eastAsia" w:ascii="黑体" w:hAnsi="黑体" w:eastAsia="黑体" w:cs="Times New Roman"/>
          <w:sz w:val="24"/>
          <w:lang w:val="en-US" w:eastAsia="zh-CN"/>
        </w:rPr>
        <w:t>五、课程内容要求及学时分配</w:t>
      </w:r>
    </w:p>
    <w:tbl>
      <w:tblPr>
        <w:tblStyle w:val="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59"/>
        <w:gridCol w:w="2662"/>
        <w:gridCol w:w="5828"/>
        <w:gridCol w:w="4267"/>
        <w:gridCol w:w="878"/>
      </w:tblGrid>
      <w:tr w14:paraId="6951E9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38"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03B7D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序号</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81BD3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工作任务</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59582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知识要求</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9041F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技能要求</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B0F73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课时</w:t>
            </w:r>
          </w:p>
        </w:tc>
      </w:tr>
      <w:tr w14:paraId="183619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70"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13C27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1</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EC8CC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b/>
                <w:bCs/>
                <w:color w:val="333333"/>
                <w:sz w:val="24"/>
                <w:szCs w:val="24"/>
                <w:lang w:val="en-US" w:eastAsia="zh-CN"/>
              </w:rPr>
              <w:t>专题一</w:t>
            </w:r>
            <w:r>
              <w:rPr>
                <w:rFonts w:hint="eastAsia" w:ascii="Times New Roman" w:hAnsi="Times New Roman" w:cs="Times New Roman"/>
                <w:color w:val="333333"/>
                <w:sz w:val="24"/>
                <w:szCs w:val="24"/>
                <w:lang w:val="en-US" w:eastAsia="zh-CN"/>
              </w:rPr>
              <w:t>马克思主义中国的历史进程与理论成果</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3E457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马克思主义中国化及其理论成果</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8309C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    </w:t>
            </w:r>
            <w:r>
              <w:rPr>
                <w:rFonts w:hint="eastAsia" w:cs="Times New Roman"/>
                <w:color w:val="333333"/>
                <w:sz w:val="24"/>
                <w:szCs w:val="24"/>
                <w:lang w:val="en-US" w:eastAsia="zh-CN"/>
              </w:rPr>
              <w:t xml:space="preserve">  </w:t>
            </w:r>
            <w:r>
              <w:rPr>
                <w:rFonts w:hint="eastAsia" w:ascii="Times New Roman" w:hAnsi="Times New Roman" w:cs="Times New Roman"/>
                <w:color w:val="333333"/>
                <w:sz w:val="24"/>
                <w:szCs w:val="24"/>
                <w:lang w:val="en-US" w:eastAsia="zh-CN"/>
              </w:rPr>
              <w:t>正确认识马克思主义中国化的历史必然性；正确把握马克思主义中国化理论成果。</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1A910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2</w:t>
            </w:r>
          </w:p>
        </w:tc>
      </w:tr>
      <w:tr w14:paraId="617EB7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87"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A78A1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2</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9EE61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b/>
                <w:bCs/>
                <w:color w:val="333333"/>
                <w:sz w:val="24"/>
                <w:szCs w:val="24"/>
                <w:lang w:val="en-US" w:eastAsia="zh-CN"/>
              </w:rPr>
              <w:t>专题</w:t>
            </w:r>
            <w:r>
              <w:rPr>
                <w:rFonts w:hint="eastAsia" w:cs="Times New Roman"/>
                <w:b/>
                <w:bCs/>
                <w:color w:val="333333"/>
                <w:sz w:val="24"/>
                <w:szCs w:val="24"/>
                <w:lang w:val="en-US" w:eastAsia="zh-CN"/>
              </w:rPr>
              <w:t>一</w:t>
            </w:r>
            <w:r>
              <w:rPr>
                <w:rFonts w:hint="eastAsia" w:ascii="Times New Roman" w:hAnsi="Times New Roman" w:cs="Times New Roman"/>
                <w:color w:val="333333"/>
                <w:sz w:val="24"/>
                <w:szCs w:val="24"/>
                <w:lang w:val="en-US" w:eastAsia="zh-CN"/>
              </w:rPr>
              <w:t>毛泽东思想及其历史地位</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7B32D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毛泽东思想的形成和发展，毛泽东思想的主要内容和活的灵魂，毛泽东思想的历史地位 。</w:t>
            </w:r>
          </w:p>
          <w:p w14:paraId="566F92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毛泽东思想的主要内容和活的灵魂；科学认识毛泽东和毛泽东思想的历史地位。</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7E7F5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正确区别毛泽东晚年的错误和毛泽东思想；如何科学评价毛泽东的历史地位。 </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CF34C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cs="Times New Roman"/>
                <w:color w:val="333333"/>
                <w:sz w:val="24"/>
                <w:szCs w:val="24"/>
                <w:lang w:val="en-US" w:eastAsia="zh-CN"/>
              </w:rPr>
              <w:t>6</w:t>
            </w:r>
          </w:p>
        </w:tc>
      </w:tr>
      <w:tr w14:paraId="55BE63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77"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97001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3</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49F80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b/>
                <w:bCs/>
                <w:color w:val="333333"/>
                <w:sz w:val="24"/>
                <w:szCs w:val="24"/>
                <w:lang w:val="en-US" w:eastAsia="zh-CN"/>
              </w:rPr>
              <w:t>专题</w:t>
            </w:r>
            <w:r>
              <w:rPr>
                <w:rFonts w:hint="eastAsia" w:cs="Times New Roman"/>
                <w:b/>
                <w:bCs/>
                <w:color w:val="333333"/>
                <w:sz w:val="24"/>
                <w:szCs w:val="24"/>
                <w:lang w:val="en-US" w:eastAsia="zh-CN"/>
              </w:rPr>
              <w:t>二</w:t>
            </w:r>
            <w:r>
              <w:rPr>
                <w:rFonts w:hint="eastAsia" w:ascii="Times New Roman" w:hAnsi="Times New Roman" w:cs="Times New Roman"/>
                <w:color w:val="333333"/>
                <w:sz w:val="24"/>
                <w:szCs w:val="24"/>
                <w:lang w:val="en-US" w:eastAsia="zh-CN"/>
              </w:rPr>
              <w:t>新民主主义革命理论</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8F152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认识新民主主义革命理论形成的时代特征、新民主主义革命的总路线和基本纲领；</w:t>
            </w:r>
          </w:p>
          <w:p w14:paraId="30B4DF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了解新民主主义革命道路的基本内容；了解新民主主义革命理论的历史意义</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0CCC9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领会中国革命的艰难，学会运用科学理论解决问题的能力，增强抗挫能力。</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7BFFB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cs="Times New Roman"/>
                <w:color w:val="333333"/>
                <w:sz w:val="24"/>
                <w:szCs w:val="24"/>
                <w:lang w:val="en-US" w:eastAsia="zh-CN"/>
              </w:rPr>
              <w:t>4</w:t>
            </w:r>
          </w:p>
        </w:tc>
      </w:tr>
      <w:tr w14:paraId="0D5F16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45"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3C290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4</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DC8B3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b/>
                <w:bCs/>
                <w:color w:val="333333"/>
                <w:sz w:val="24"/>
                <w:szCs w:val="24"/>
                <w:lang w:val="en-US" w:eastAsia="zh-CN"/>
              </w:rPr>
              <w:t>专题</w:t>
            </w:r>
            <w:r>
              <w:rPr>
                <w:rFonts w:hint="eastAsia" w:cs="Times New Roman"/>
                <w:b/>
                <w:bCs/>
                <w:color w:val="333333"/>
                <w:sz w:val="24"/>
                <w:szCs w:val="24"/>
                <w:lang w:val="en-US" w:eastAsia="zh-CN"/>
              </w:rPr>
              <w:t>三</w:t>
            </w:r>
            <w:r>
              <w:rPr>
                <w:rFonts w:hint="eastAsia" w:ascii="Times New Roman" w:hAnsi="Times New Roman" w:cs="Times New Roman"/>
                <w:color w:val="333333"/>
                <w:sz w:val="24"/>
                <w:szCs w:val="24"/>
                <w:lang w:val="en-US" w:eastAsia="zh-CN"/>
              </w:rPr>
              <w:t>社会主义改造理论</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F96DF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认识新民主主义社会是一个过渡性的社会；</w:t>
            </w:r>
          </w:p>
          <w:p w14:paraId="715150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理解社会主义改造的总路线；了解社会主义改造的过程和历史经验；</w:t>
            </w:r>
          </w:p>
          <w:p w14:paraId="487785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了解社会主义基本制度的确立及其重大意义</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A7566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领会社会主义制度确立的必然性，拥护社会主义制度</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589C3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4</w:t>
            </w:r>
          </w:p>
        </w:tc>
      </w:tr>
      <w:tr w14:paraId="52C4A8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46"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7FCFF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5</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34709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b/>
                <w:bCs/>
                <w:color w:val="333333"/>
                <w:sz w:val="24"/>
                <w:szCs w:val="24"/>
                <w:lang w:val="en-US" w:eastAsia="zh-CN"/>
              </w:rPr>
              <w:t>专题</w:t>
            </w:r>
            <w:r>
              <w:rPr>
                <w:rFonts w:hint="eastAsia" w:cs="Times New Roman"/>
                <w:b/>
                <w:bCs/>
                <w:color w:val="333333"/>
                <w:sz w:val="24"/>
                <w:szCs w:val="24"/>
                <w:lang w:val="en-US" w:eastAsia="zh-CN"/>
              </w:rPr>
              <w:t>四</w:t>
            </w:r>
            <w:r>
              <w:rPr>
                <w:rFonts w:hint="eastAsia" w:ascii="Times New Roman" w:hAnsi="Times New Roman" w:cs="Times New Roman"/>
                <w:color w:val="333333"/>
                <w:sz w:val="24"/>
                <w:szCs w:val="24"/>
                <w:lang w:val="en-US" w:eastAsia="zh-CN"/>
              </w:rPr>
              <w:t>社会主义建设道路初步探索的理论成果</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4CDE6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了解社会主义建设道路初步探索的重要思想成果；</w:t>
            </w:r>
          </w:p>
          <w:p w14:paraId="091D1C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正确认识社会主义建设道路初步探索的意义和经验教训</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D1847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学会从挫折中吸取教训</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F6F1F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cs="Times New Roman"/>
                <w:color w:val="333333"/>
                <w:sz w:val="24"/>
                <w:szCs w:val="24"/>
                <w:lang w:val="en-US" w:eastAsia="zh-CN"/>
              </w:rPr>
              <w:t>4</w:t>
            </w:r>
          </w:p>
        </w:tc>
      </w:tr>
      <w:tr w14:paraId="7A82C7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90"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81AA3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序号</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C80ED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工作任务</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D1359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知识要求</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DE08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技能要求</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EE2D0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课时</w:t>
            </w:r>
          </w:p>
        </w:tc>
      </w:tr>
      <w:tr w14:paraId="716EF5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53"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0D833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cs="Times New Roman"/>
                <w:color w:val="333333"/>
                <w:sz w:val="24"/>
                <w:szCs w:val="24"/>
                <w:lang w:val="en-US" w:eastAsia="zh-CN"/>
              </w:rPr>
            </w:pPr>
            <w:r>
              <w:rPr>
                <w:rFonts w:hint="eastAsia" w:cs="Times New Roman"/>
                <w:color w:val="333333"/>
                <w:sz w:val="24"/>
                <w:szCs w:val="24"/>
                <w:lang w:val="en-US" w:eastAsia="zh-CN"/>
              </w:rPr>
              <w:t>6</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4093D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default" w:ascii="Times New Roman" w:hAnsi="Times New Roman" w:cs="Times New Roman"/>
                <w:b/>
                <w:bCs/>
                <w:color w:val="333333"/>
                <w:sz w:val="24"/>
                <w:szCs w:val="24"/>
                <w:lang w:val="en-US" w:eastAsia="zh-CN"/>
              </w:rPr>
            </w:pPr>
            <w:r>
              <w:rPr>
                <w:rFonts w:hint="eastAsia" w:ascii="Times New Roman" w:hAnsi="Times New Roman" w:cs="Times New Roman"/>
                <w:b/>
                <w:bCs/>
                <w:color w:val="333333"/>
                <w:sz w:val="24"/>
                <w:szCs w:val="24"/>
                <w:lang w:val="en-US" w:eastAsia="zh-CN"/>
              </w:rPr>
              <w:t>专题</w:t>
            </w:r>
            <w:r>
              <w:rPr>
                <w:rFonts w:hint="eastAsia" w:cs="Times New Roman"/>
                <w:b/>
                <w:bCs/>
                <w:color w:val="333333"/>
                <w:sz w:val="24"/>
                <w:szCs w:val="24"/>
                <w:lang w:val="en-US" w:eastAsia="zh-CN"/>
              </w:rPr>
              <w:t>五</w:t>
            </w:r>
            <w:r>
              <w:rPr>
                <w:rFonts w:hint="eastAsia" w:ascii="Times New Roman" w:hAnsi="Times New Roman" w:cs="Times New Roman"/>
                <w:color w:val="333333"/>
                <w:sz w:val="24"/>
                <w:szCs w:val="24"/>
                <w:lang w:val="en-US" w:eastAsia="zh-CN"/>
              </w:rPr>
              <w:t>中国特色社会主义理论体系的形成发展</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A6595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left"/>
              <w:textAlignment w:val="auto"/>
              <w:rPr>
                <w:rFonts w:hint="default" w:ascii="Times New Roman" w:hAnsi="Times New Roman" w:cs="Times New Roman"/>
                <w:color w:val="333333"/>
                <w:sz w:val="24"/>
                <w:szCs w:val="24"/>
                <w:lang w:val="en-US" w:eastAsia="zh-CN"/>
              </w:rPr>
            </w:pPr>
            <w:r>
              <w:rPr>
                <w:rFonts w:hint="eastAsia" w:cs="Times New Roman"/>
                <w:color w:val="333333"/>
                <w:sz w:val="24"/>
                <w:szCs w:val="24"/>
                <w:lang w:val="en-US" w:eastAsia="zh-CN"/>
              </w:rPr>
              <w:t>了解中国特色社会主义理论体系形成的国际背景、历史条件和实践基础。</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D29C6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default" w:ascii="Times New Roman" w:hAnsi="Times New Roman" w:cs="Times New Roman"/>
                <w:color w:val="333333"/>
                <w:sz w:val="24"/>
                <w:szCs w:val="24"/>
                <w:lang w:val="en-US" w:eastAsia="zh-CN"/>
              </w:rPr>
            </w:pPr>
            <w:r>
              <w:rPr>
                <w:rFonts w:hint="eastAsia" w:cs="Times New Roman"/>
                <w:color w:val="333333"/>
                <w:sz w:val="24"/>
                <w:szCs w:val="24"/>
                <w:lang w:val="en-US" w:eastAsia="zh-CN"/>
              </w:rPr>
              <w:t xml:space="preserve">    </w:t>
            </w:r>
            <w:r>
              <w:rPr>
                <w:rFonts w:hint="eastAsia" w:eastAsia="宋体" w:cs="Times New Roman"/>
                <w:color w:val="333333"/>
                <w:sz w:val="24"/>
                <w:szCs w:val="24"/>
                <w:lang w:val="en-US" w:eastAsia="zh-CN"/>
              </w:rPr>
              <w:t>坚定“四个自信”，</w:t>
            </w:r>
            <w:r>
              <w:rPr>
                <w:rFonts w:hint="eastAsia" w:cs="Times New Roman"/>
                <w:color w:val="333333"/>
                <w:sz w:val="24"/>
                <w:szCs w:val="24"/>
                <w:lang w:val="en-US" w:eastAsia="zh-CN"/>
              </w:rPr>
              <w:t>增强对中国特色社会主义的信念</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6FCDA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cs="Times New Roman"/>
                <w:color w:val="333333"/>
                <w:sz w:val="24"/>
                <w:szCs w:val="24"/>
                <w:lang w:val="en-US" w:eastAsia="zh-CN"/>
              </w:rPr>
            </w:pPr>
            <w:r>
              <w:rPr>
                <w:rFonts w:hint="eastAsia" w:cs="Times New Roman"/>
                <w:color w:val="333333"/>
                <w:sz w:val="24"/>
                <w:szCs w:val="24"/>
                <w:lang w:val="en-US" w:eastAsia="zh-CN"/>
              </w:rPr>
              <w:t>2</w:t>
            </w:r>
          </w:p>
        </w:tc>
      </w:tr>
      <w:tr w14:paraId="539509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665"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86522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cs="Times New Roman"/>
                <w:color w:val="333333"/>
                <w:sz w:val="24"/>
                <w:szCs w:val="24"/>
                <w:lang w:val="en-US" w:eastAsia="zh-CN"/>
              </w:rPr>
              <w:t>7</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C3137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ascii="Times New Roman" w:hAnsi="Times New Roman" w:cs="Times New Roman"/>
                <w:color w:val="333333"/>
                <w:sz w:val="24"/>
                <w:szCs w:val="24"/>
              </w:rPr>
            </w:pPr>
            <w:r>
              <w:rPr>
                <w:rFonts w:hint="eastAsia" w:ascii="Times New Roman" w:hAnsi="Times New Roman" w:cs="Times New Roman"/>
                <w:b/>
                <w:bCs/>
                <w:color w:val="333333"/>
                <w:sz w:val="24"/>
                <w:szCs w:val="24"/>
                <w:lang w:val="en-US" w:eastAsia="zh-CN"/>
              </w:rPr>
              <w:t>专题六</w:t>
            </w:r>
            <w:r>
              <w:rPr>
                <w:rFonts w:hint="eastAsia" w:ascii="Times New Roman" w:hAnsi="Times New Roman" w:cs="Times New Roman"/>
                <w:color w:val="333333"/>
                <w:sz w:val="24"/>
                <w:szCs w:val="24"/>
                <w:lang w:val="en-US" w:eastAsia="zh-CN"/>
              </w:rPr>
              <w:t>邓小平理论</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D4308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邓小平理论形成；邓小平理论的基本问题和主要内容；邓小平理论的历史地位 。</w:t>
            </w:r>
          </w:p>
          <w:p w14:paraId="281303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正确认识改革开放以前党对中国特色社会主义建设道路的初步探索成果和认识的曲折发展；社会主义本质的科学内涵；解放思想、实事求是的思想路线；社会主义初级阶段理论；改革开放理论；社会主义市场经济理论。</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146A6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邓小平为什么把解放生产力、发展生产力作为社会主义的本质内容之一；如何理解现阶段的剥削现象和贫富差别与社会主义本质的关系。 </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C7D3F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cs="Times New Roman"/>
                <w:color w:val="333333"/>
                <w:sz w:val="24"/>
                <w:szCs w:val="24"/>
                <w:lang w:val="en-US" w:eastAsia="zh-CN"/>
              </w:rPr>
              <w:t>6</w:t>
            </w:r>
          </w:p>
        </w:tc>
      </w:tr>
      <w:tr w14:paraId="682EA4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091"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F8E01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cs="Times New Roman"/>
                <w:color w:val="333333"/>
                <w:sz w:val="24"/>
                <w:szCs w:val="24"/>
                <w:lang w:val="en-US" w:eastAsia="zh-CN"/>
              </w:rPr>
              <w:t>8</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AB1B3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ascii="Times New Roman" w:hAnsi="Times New Roman" w:cs="Times New Roman"/>
                <w:color w:val="333333"/>
                <w:sz w:val="24"/>
                <w:szCs w:val="24"/>
              </w:rPr>
            </w:pPr>
            <w:r>
              <w:rPr>
                <w:rFonts w:hint="eastAsia" w:ascii="Times New Roman" w:hAnsi="Times New Roman" w:cs="Times New Roman"/>
                <w:b/>
                <w:bCs/>
                <w:color w:val="333333"/>
                <w:sz w:val="24"/>
                <w:szCs w:val="24"/>
                <w:lang w:val="en-US" w:eastAsia="zh-CN"/>
              </w:rPr>
              <w:t>专题七</w:t>
            </w:r>
            <w:r>
              <w:rPr>
                <w:rFonts w:hint="eastAsia" w:ascii="Times New Roman" w:hAnsi="Times New Roman" w:cs="Times New Roman"/>
                <w:color w:val="333333"/>
                <w:sz w:val="24"/>
                <w:szCs w:val="24"/>
                <w:lang w:val="en-US" w:eastAsia="zh-CN"/>
              </w:rPr>
              <w:t>“三个代表”重要思想</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8F326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“三个代表”重要思想的形成；“三个代表”重要思想的核心观点和主要内容；“三个代表”重要思想的历史地位。</w:t>
            </w:r>
          </w:p>
          <w:p w14:paraId="25EC3A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“三个代表”重要思想的科学体系和主要内容； “三个代表”重要思想的历史地位和指导意义。</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82E0A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为什么中国共产党必须始终代表中国先进生产力的发展要求；为什么中国共产党必须始终代表中国先进文化的前进方向；为什么中国共产党必须始终代表中国最广大人民的根本利益。 </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48F33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4</w:t>
            </w:r>
          </w:p>
        </w:tc>
      </w:tr>
      <w:tr w14:paraId="1BDFF1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88" w:hRule="atLeast"/>
        </w:trPr>
        <w:tc>
          <w:tcPr>
            <w:tcW w:w="95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E65B7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cs="Times New Roman"/>
                <w:color w:val="333333"/>
                <w:sz w:val="24"/>
                <w:szCs w:val="24"/>
                <w:lang w:val="en-US" w:eastAsia="zh-CN"/>
              </w:rPr>
              <w:t>9</w:t>
            </w:r>
          </w:p>
        </w:tc>
        <w:tc>
          <w:tcPr>
            <w:tcW w:w="2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9F937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 </w:t>
            </w:r>
            <w:r>
              <w:rPr>
                <w:rFonts w:hint="eastAsia" w:ascii="Times New Roman" w:hAnsi="Times New Roman" w:cs="Times New Roman"/>
                <w:b/>
                <w:bCs/>
                <w:color w:val="333333"/>
                <w:sz w:val="24"/>
                <w:szCs w:val="24"/>
                <w:lang w:val="en-US" w:eastAsia="zh-CN"/>
              </w:rPr>
              <w:t>专题八</w:t>
            </w:r>
            <w:r>
              <w:rPr>
                <w:rFonts w:hint="eastAsia" w:ascii="Times New Roman" w:hAnsi="Times New Roman" w:cs="Times New Roman"/>
                <w:color w:val="333333"/>
                <w:sz w:val="24"/>
                <w:szCs w:val="24"/>
                <w:lang w:val="en-US" w:eastAsia="zh-CN"/>
              </w:rPr>
              <w:t>科学发展观</w:t>
            </w:r>
          </w:p>
          <w:p w14:paraId="423A95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 </w:t>
            </w:r>
          </w:p>
        </w:tc>
        <w:tc>
          <w:tcPr>
            <w:tcW w:w="582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D55BE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科学发展观的形成；科学发展观的科学内涵和主要内容；科学发展观的历史地位。</w:t>
            </w:r>
          </w:p>
          <w:p w14:paraId="24B762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科学发展观的内涵及主要内容；科学发展观的历史地位。</w:t>
            </w:r>
          </w:p>
        </w:tc>
        <w:tc>
          <w:tcPr>
            <w:tcW w:w="426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C65EC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480" w:firstLineChars="200"/>
              <w:jc w:val="both"/>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科学发展观提出的时代背景；如何理解“发展是解决中国一切问题的总钥匙。 </w:t>
            </w:r>
          </w:p>
        </w:tc>
        <w:tc>
          <w:tcPr>
            <w:tcW w:w="87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3BE43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ascii="Times New Roman" w:hAnsi="Times New Roman" w:cs="Times New Roman"/>
                <w:color w:val="333333"/>
                <w:sz w:val="24"/>
                <w:szCs w:val="24"/>
              </w:rPr>
            </w:pPr>
            <w:r>
              <w:rPr>
                <w:rFonts w:hint="eastAsia" w:ascii="Times New Roman" w:hAnsi="Times New Roman" w:cs="Times New Roman"/>
                <w:color w:val="333333"/>
                <w:sz w:val="24"/>
                <w:szCs w:val="24"/>
                <w:lang w:val="en-US" w:eastAsia="zh-CN"/>
              </w:rPr>
              <w:t>4</w:t>
            </w:r>
          </w:p>
        </w:tc>
      </w:tr>
    </w:tbl>
    <w:p w14:paraId="49AC0281">
      <w:pPr>
        <w:keepNext w:val="0"/>
        <w:keepLines w:val="0"/>
        <w:pageBreakBefore w:val="0"/>
        <w:widowControl w:val="0"/>
        <w:numPr>
          <w:ilvl w:val="0"/>
          <w:numId w:val="0"/>
        </w:numPr>
        <w:kinsoku/>
        <w:wordWrap/>
        <w:overflowPunct/>
        <w:topLinePunct w:val="0"/>
        <w:autoSpaceDE/>
        <w:autoSpaceDN/>
        <w:bidi w:val="0"/>
        <w:adjustRightInd/>
        <w:snapToGrid/>
        <w:spacing w:before="157" w:beforeLines="50"/>
        <w:textAlignment w:val="auto"/>
        <w:rPr>
          <w:rFonts w:hint="default" w:ascii="黑体" w:hAnsi="黑体" w:eastAsia="黑体" w:cs="Times New Roman"/>
          <w:sz w:val="24"/>
          <w:lang w:val="en-US" w:eastAsia="zh-CN"/>
        </w:rPr>
      </w:pPr>
    </w:p>
    <w:p w14:paraId="1FDC94B4">
      <w:pPr>
        <w:widowControl w:val="0"/>
        <w:numPr>
          <w:ilvl w:val="0"/>
          <w:numId w:val="0"/>
        </w:numPr>
        <w:spacing w:line="360" w:lineRule="auto"/>
        <w:jc w:val="left"/>
        <w:rPr>
          <w:rFonts w:hint="default" w:ascii="黑体" w:hAnsi="黑体" w:eastAsia="黑体" w:cs="Times New Roman"/>
          <w:sz w:val="24"/>
          <w:lang w:val="en-US" w:eastAsia="zh-CN"/>
        </w:rPr>
        <w:sectPr>
          <w:pgSz w:w="16838" w:h="11906" w:orient="landscape"/>
          <w:pgMar w:top="1179" w:right="1100" w:bottom="1179" w:left="1100" w:header="851" w:footer="992" w:gutter="0"/>
          <w:cols w:space="425" w:num="1"/>
          <w:docGrid w:type="lines" w:linePitch="312" w:charSpace="0"/>
        </w:sectPr>
      </w:pPr>
    </w:p>
    <w:p w14:paraId="50D8AD57">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480" w:firstLineChars="200"/>
        <w:textAlignment w:val="auto"/>
        <w:rPr>
          <w:rFonts w:hint="eastAsia" w:ascii="黑体" w:hAnsi="黑体" w:eastAsia="黑体" w:cs="Times New Roman"/>
          <w:sz w:val="24"/>
          <w:lang w:val="en-US" w:eastAsia="zh-CN"/>
        </w:rPr>
      </w:pPr>
      <w:r>
        <w:rPr>
          <w:rFonts w:hint="eastAsia" w:ascii="黑体" w:hAnsi="黑体" w:eastAsia="黑体" w:cs="Times New Roman"/>
          <w:sz w:val="24"/>
          <w:lang w:val="en-US" w:eastAsia="zh-CN"/>
        </w:rPr>
        <w:t>六、课程实施计划</w:t>
      </w:r>
    </w:p>
    <w:p w14:paraId="407CAEA6">
      <w:pPr>
        <w:keepNext w:val="0"/>
        <w:keepLines w:val="0"/>
        <w:pageBreakBefore w:val="0"/>
        <w:widowControl w:val="0"/>
        <w:kinsoku/>
        <w:wordWrap/>
        <w:overflowPunct/>
        <w:topLinePunct w:val="0"/>
        <w:autoSpaceDE/>
        <w:autoSpaceDN/>
        <w:bidi w:val="0"/>
        <w:adjustRightInd/>
        <w:snapToGrid/>
        <w:spacing w:before="157" w:beforeLines="50"/>
        <w:jc w:val="left"/>
        <w:textAlignment w:val="auto"/>
        <w:rPr>
          <w:rFonts w:hint="default" w:ascii="宋体" w:hAnsi="宋体" w:eastAsia="宋体" w:cs="宋体"/>
          <w:b/>
          <w:bCs/>
          <w:lang w:val="en-US" w:eastAsia="zh-CN"/>
        </w:rPr>
      </w:pPr>
      <w:r>
        <w:rPr>
          <w:rFonts w:hint="eastAsia" w:ascii="宋体" w:hAnsi="宋体" w:cs="宋体"/>
          <w:b/>
          <w:bCs/>
          <w:lang w:val="en-US" w:eastAsia="zh-CN"/>
        </w:rPr>
        <w:t>（一）</w:t>
      </w:r>
      <w:r>
        <w:rPr>
          <w:rFonts w:hint="eastAsia" w:ascii="宋体" w:hAnsi="宋体" w:eastAsia="宋体" w:cs="宋体"/>
          <w:b/>
          <w:bCs/>
          <w:lang w:val="en-US" w:eastAsia="zh-CN"/>
        </w:rPr>
        <w:t>教材选用</w:t>
      </w:r>
    </w:p>
    <w:p w14:paraId="5A1532EF">
      <w:pPr>
        <w:jc w:val="left"/>
        <w:rPr>
          <w:rFonts w:hint="eastAsia" w:ascii="宋体" w:hAnsi="宋体" w:eastAsia="宋体" w:cs="宋体"/>
          <w:lang w:val="en-US" w:eastAsia="zh-CN"/>
        </w:rPr>
      </w:pPr>
      <w:r>
        <w:rPr>
          <w:rFonts w:hint="default" w:ascii="宋体" w:hAnsi="宋体" w:eastAsia="宋体" w:cs="宋体"/>
          <w:lang w:val="en-US" w:eastAsia="zh-CN"/>
        </w:rPr>
        <w:t>课程使用教育部指定教材《毛泽东思想和中国特色社会主义理论体系概论》，由本书编写祖编写，高等教育出版社出版。由于随着党和国家政策的调整，教材会不定期修改，教学须采用最新版</w:t>
      </w:r>
      <w:r>
        <w:rPr>
          <w:rFonts w:hint="eastAsia" w:ascii="宋体" w:hAnsi="宋体" w:eastAsia="宋体" w:cs="宋体"/>
          <w:lang w:val="en-US" w:eastAsia="zh-CN"/>
        </w:rPr>
        <w:t>，目前采用的是2023版教材。</w:t>
      </w:r>
    </w:p>
    <w:p w14:paraId="11B6C258">
      <w:pPr>
        <w:keepNext w:val="0"/>
        <w:keepLines w:val="0"/>
        <w:pageBreakBefore w:val="0"/>
        <w:widowControl w:val="0"/>
        <w:kinsoku/>
        <w:wordWrap/>
        <w:overflowPunct/>
        <w:topLinePunct w:val="0"/>
        <w:autoSpaceDE/>
        <w:autoSpaceDN/>
        <w:bidi w:val="0"/>
        <w:adjustRightInd/>
        <w:snapToGrid/>
        <w:spacing w:before="157" w:beforeLines="50"/>
        <w:jc w:val="left"/>
        <w:textAlignment w:val="auto"/>
        <w:rPr>
          <w:rFonts w:hint="default" w:ascii="宋体" w:hAnsi="宋体" w:eastAsia="宋体" w:cs="宋体"/>
          <w:b/>
          <w:bCs/>
          <w:lang w:val="en-US" w:eastAsia="zh-CN"/>
        </w:rPr>
      </w:pPr>
      <w:r>
        <w:rPr>
          <w:rFonts w:hint="eastAsia" w:ascii="宋体" w:hAnsi="宋体" w:cs="宋体"/>
          <w:b/>
          <w:bCs/>
          <w:lang w:val="en-US" w:eastAsia="zh-CN"/>
        </w:rPr>
        <w:t>（二）</w:t>
      </w:r>
      <w:r>
        <w:rPr>
          <w:rFonts w:hint="eastAsia" w:ascii="宋体" w:hAnsi="宋体" w:eastAsia="宋体" w:cs="宋体"/>
          <w:b/>
          <w:bCs/>
          <w:lang w:val="en-US" w:eastAsia="zh-CN"/>
        </w:rPr>
        <w:t>教学方法</w:t>
      </w:r>
    </w:p>
    <w:p w14:paraId="01686B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kern w:val="2"/>
          <w:sz w:val="24"/>
          <w:szCs w:val="24"/>
          <w:lang w:val="en-US" w:eastAsia="zh-CN" w:bidi="ar-SA"/>
        </w:rPr>
      </w:pPr>
      <w:r>
        <w:rPr>
          <w:rFonts w:hint="eastAsia" w:ascii="宋体" w:hAnsi="宋体" w:eastAsia="宋体" w:cs="宋体"/>
          <w:b/>
          <w:bCs/>
          <w:kern w:val="2"/>
          <w:sz w:val="24"/>
          <w:szCs w:val="24"/>
          <w:lang w:val="en-US" w:eastAsia="zh-CN" w:bidi="ar-SA"/>
        </w:rPr>
        <w:t>理论讲授方法</w:t>
      </w:r>
      <w:r>
        <w:rPr>
          <w:rFonts w:hint="eastAsia" w:ascii="宋体" w:hAnsi="宋体" w:eastAsia="宋体" w:cs="宋体"/>
          <w:kern w:val="2"/>
          <w:sz w:val="24"/>
          <w:szCs w:val="24"/>
          <w:lang w:val="en-US" w:eastAsia="zh-CN" w:bidi="ar-SA"/>
        </w:rPr>
        <w:t>。理论讲授方法是最基本、最主要的教学方法。必须严格遵循教育部制定的教学大纲精神，使用教育部规定的全国统编教材，教师认真备课并加强集体备课，有效运用现代教育技术手段，提高教师的课堂讲授艺术，增强师生间的情感互动和理论教学的吸引力与感染力。</w:t>
      </w:r>
    </w:p>
    <w:p w14:paraId="6AF284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kern w:val="2"/>
          <w:sz w:val="24"/>
          <w:szCs w:val="24"/>
          <w:lang w:val="en-US" w:eastAsia="zh-CN" w:bidi="ar-SA"/>
        </w:rPr>
      </w:pPr>
      <w:r>
        <w:rPr>
          <w:rFonts w:hint="eastAsia" w:ascii="宋体" w:hAnsi="宋体" w:eastAsia="宋体" w:cs="宋体"/>
          <w:b/>
          <w:bCs/>
          <w:kern w:val="2"/>
          <w:sz w:val="24"/>
          <w:szCs w:val="24"/>
          <w:lang w:val="en-US" w:eastAsia="zh-CN" w:bidi="ar-SA"/>
        </w:rPr>
        <w:t>翻转课堂教学法</w:t>
      </w:r>
      <w:r>
        <w:rPr>
          <w:rFonts w:hint="eastAsia" w:ascii="宋体" w:hAnsi="宋体" w:eastAsia="宋体" w:cs="宋体"/>
          <w:kern w:val="2"/>
          <w:sz w:val="24"/>
          <w:szCs w:val="24"/>
          <w:lang w:val="en-US" w:eastAsia="zh-CN" w:bidi="ar-SA"/>
        </w:rPr>
        <w:t>。立足教学重点、社会热点和学生关注点的结合点，优化选取教学内容，充分利用微信平台和互联网技术，实现师生线上线下适时互动，充分体现学生在教学过程中的主体地位。</w:t>
      </w:r>
    </w:p>
    <w:p w14:paraId="75D9E5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kern w:val="2"/>
          <w:sz w:val="24"/>
          <w:szCs w:val="24"/>
          <w:lang w:val="en-US" w:eastAsia="zh-CN" w:bidi="ar-SA"/>
        </w:rPr>
      </w:pPr>
      <w:r>
        <w:rPr>
          <w:rFonts w:hint="eastAsia" w:ascii="宋体" w:hAnsi="宋体" w:eastAsia="宋体" w:cs="宋体"/>
          <w:b/>
          <w:bCs/>
          <w:kern w:val="2"/>
          <w:sz w:val="24"/>
          <w:szCs w:val="24"/>
          <w:lang w:val="en-US" w:eastAsia="zh-CN" w:bidi="ar-SA"/>
        </w:rPr>
        <w:t>案例教学方法</w:t>
      </w:r>
      <w:r>
        <w:rPr>
          <w:rFonts w:hint="eastAsia" w:ascii="宋体" w:hAnsi="宋体" w:eastAsia="宋体" w:cs="宋体"/>
          <w:kern w:val="2"/>
          <w:sz w:val="24"/>
          <w:szCs w:val="24"/>
          <w:lang w:val="en-US" w:eastAsia="zh-CN" w:bidi="ar-SA"/>
        </w:rPr>
        <w:t>。在授课中教师根据讲授内容，选择经典案例，剖析重点、热点、难点问题，引导和帮助学生掌握马克思主义的世界观和方法论，提高学生分析解决实际问题的能力，解除学生对某些理论和社会问题的困惑。</w:t>
      </w:r>
    </w:p>
    <w:p w14:paraId="1ECF4E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kern w:val="2"/>
          <w:sz w:val="24"/>
          <w:szCs w:val="24"/>
          <w:lang w:val="en-US" w:eastAsia="zh-CN" w:bidi="ar-SA"/>
        </w:rPr>
      </w:pPr>
      <w:r>
        <w:rPr>
          <w:rFonts w:hint="eastAsia" w:ascii="宋体" w:hAnsi="宋体" w:eastAsia="宋体" w:cs="宋体"/>
          <w:b/>
          <w:bCs/>
          <w:kern w:val="2"/>
          <w:sz w:val="24"/>
          <w:szCs w:val="24"/>
          <w:lang w:val="en-US" w:eastAsia="zh-CN" w:bidi="ar-SA"/>
        </w:rPr>
        <w:t>选播视频资料方法</w:t>
      </w:r>
      <w:r>
        <w:rPr>
          <w:rFonts w:hint="eastAsia" w:ascii="宋体" w:hAnsi="宋体" w:eastAsia="宋体" w:cs="宋体"/>
          <w:kern w:val="2"/>
          <w:sz w:val="24"/>
          <w:szCs w:val="24"/>
          <w:lang w:val="en-US" w:eastAsia="zh-CN" w:bidi="ar-SA"/>
        </w:rPr>
        <w:t>。紧密结合教学内容需要，选择优秀的、最新的视频资料在课堂上插播，在观看中进行适当的讲解和评论。</w:t>
      </w:r>
    </w:p>
    <w:p w14:paraId="5407D7A3">
      <w:pPr>
        <w:keepNext w:val="0"/>
        <w:keepLines w:val="0"/>
        <w:pageBreakBefore w:val="0"/>
        <w:widowControl w:val="0"/>
        <w:kinsoku/>
        <w:wordWrap/>
        <w:overflowPunct/>
        <w:topLinePunct w:val="0"/>
        <w:autoSpaceDE/>
        <w:autoSpaceDN/>
        <w:bidi w:val="0"/>
        <w:adjustRightInd/>
        <w:snapToGrid/>
        <w:spacing w:before="157" w:beforeLines="50"/>
        <w:jc w:val="left"/>
        <w:textAlignment w:val="auto"/>
        <w:rPr>
          <w:rFonts w:hint="default" w:ascii="宋体" w:hAnsi="宋体" w:eastAsia="宋体" w:cs="宋体"/>
          <w:b/>
          <w:bCs/>
          <w:lang w:val="en-US" w:eastAsia="zh-CN"/>
        </w:rPr>
      </w:pPr>
      <w:r>
        <w:rPr>
          <w:rFonts w:hint="eastAsia" w:ascii="宋体" w:hAnsi="宋体" w:cs="宋体"/>
          <w:b/>
          <w:bCs/>
          <w:lang w:val="en-US" w:eastAsia="zh-CN"/>
        </w:rPr>
        <w:t>（三）</w:t>
      </w:r>
      <w:r>
        <w:rPr>
          <w:rFonts w:hint="eastAsia" w:ascii="宋体" w:hAnsi="宋体" w:eastAsia="宋体" w:cs="宋体"/>
          <w:b/>
          <w:bCs/>
          <w:lang w:val="en-US" w:eastAsia="zh-CN"/>
        </w:rPr>
        <w:t>课程资源</w:t>
      </w:r>
    </w:p>
    <w:p w14:paraId="2C7CBB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w:t>
      </w:r>
      <w:r>
        <w:rPr>
          <w:rFonts w:hint="default" w:ascii="宋体" w:hAnsi="宋体" w:eastAsia="宋体" w:cs="宋体"/>
          <w:b/>
          <w:bCs/>
          <w:kern w:val="2"/>
          <w:sz w:val="24"/>
          <w:szCs w:val="24"/>
          <w:lang w:val="en-US" w:eastAsia="zh-CN" w:bidi="ar-SA"/>
        </w:rPr>
        <w:t>常用课程资源的开发和利用</w:t>
      </w:r>
    </w:p>
    <w:p w14:paraId="0003DA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幻灯片、投影、录像、多媒体课件等资源有利于创设形象生动的学习环境，激发学生的学习兴趣，促进学生对知识的理解和掌握。建议加强常用课程资源的开发，建立多媒体课程资源库。</w:t>
      </w:r>
    </w:p>
    <w:p w14:paraId="189586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w:t>
      </w:r>
      <w:r>
        <w:rPr>
          <w:rFonts w:hint="default" w:ascii="宋体" w:hAnsi="宋体" w:eastAsia="宋体" w:cs="宋体"/>
          <w:b/>
          <w:bCs/>
          <w:kern w:val="2"/>
          <w:sz w:val="24"/>
          <w:szCs w:val="24"/>
          <w:lang w:val="en-US" w:eastAsia="zh-CN" w:bidi="ar-SA"/>
        </w:rPr>
        <w:t>积极开发和利用网络课程资源</w:t>
      </w:r>
    </w:p>
    <w:p w14:paraId="69B377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充分利用网络资源、教育网站等信息资源，使教学媒体从单一媒体向多媒体转变；使教学活动从信息的单向传递向双向交换转变；使学生从单独学习向合作学习转变。</w:t>
      </w:r>
    </w:p>
    <w:p w14:paraId="480AE0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rPr>
          <w:rFonts w:hint="default" w:ascii="宋体" w:hAnsi="宋体" w:eastAsia="宋体" w:cs="宋体"/>
          <w:kern w:val="2"/>
          <w:sz w:val="24"/>
          <w:szCs w:val="24"/>
          <w:lang w:val="en-US" w:eastAsia="zh-CN" w:bidi="ar-SA"/>
        </w:rPr>
      </w:pPr>
    </w:p>
    <w:p w14:paraId="570E82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rPr>
          <w:rFonts w:hint="eastAsia" w:ascii="宋体" w:hAnsi="宋体" w:eastAsia="宋体" w:cs="宋体"/>
          <w:kern w:val="2"/>
          <w:sz w:val="24"/>
          <w:szCs w:val="24"/>
          <w:lang w:val="en-US" w:eastAsia="zh-CN" w:bidi="ar-SA"/>
        </w:rPr>
      </w:pPr>
    </w:p>
    <w:p w14:paraId="76BA75A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Chars="20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b/>
          <w:bCs/>
          <w:kern w:val="2"/>
          <w:sz w:val="24"/>
          <w:szCs w:val="24"/>
          <w:lang w:val="en-US" w:eastAsia="zh-CN" w:bidi="ar-SA"/>
        </w:rPr>
        <w:t>3.</w:t>
      </w:r>
      <w:r>
        <w:rPr>
          <w:rFonts w:hint="default" w:ascii="宋体" w:hAnsi="宋体" w:eastAsia="宋体" w:cs="宋体"/>
          <w:b/>
          <w:bCs/>
          <w:kern w:val="2"/>
          <w:sz w:val="24"/>
          <w:szCs w:val="24"/>
          <w:lang w:val="en-US" w:eastAsia="zh-CN" w:bidi="ar-SA"/>
        </w:rPr>
        <w:t>利用学生社团和校园活动，融入思想政治教育</w:t>
      </w:r>
    </w:p>
    <w:p w14:paraId="43CE68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以学院学生社团为支撑，进行一些主题活动，将娱乐性教育性融为一体；也可以借助于学院的运动会、文化节、技能大赛、纪念日等活动，对学生开展有针对性的思想政治理论课教育。</w:t>
      </w:r>
    </w:p>
    <w:p w14:paraId="265F2F6C">
      <w:pPr>
        <w:keepNext w:val="0"/>
        <w:keepLines w:val="0"/>
        <w:pageBreakBefore w:val="0"/>
        <w:widowControl w:val="0"/>
        <w:kinsoku/>
        <w:wordWrap/>
        <w:overflowPunct/>
        <w:topLinePunct w:val="0"/>
        <w:autoSpaceDE/>
        <w:autoSpaceDN/>
        <w:bidi w:val="0"/>
        <w:adjustRightInd/>
        <w:snapToGrid/>
        <w:spacing w:before="157" w:beforeLines="50"/>
        <w:jc w:val="left"/>
        <w:textAlignment w:val="auto"/>
        <w:rPr>
          <w:rFonts w:hint="default" w:ascii="宋体" w:hAnsi="宋体" w:eastAsia="宋体" w:cs="宋体"/>
          <w:b/>
          <w:bCs/>
          <w:lang w:val="en-US" w:eastAsia="zh-CN"/>
        </w:rPr>
      </w:pPr>
      <w:r>
        <w:rPr>
          <w:rFonts w:hint="eastAsia" w:ascii="宋体" w:hAnsi="宋体" w:cs="宋体"/>
          <w:b/>
          <w:bCs/>
          <w:lang w:val="en-US" w:eastAsia="zh-CN"/>
        </w:rPr>
        <w:t>（四）教学评价</w:t>
      </w:r>
    </w:p>
    <w:p w14:paraId="4DCB52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56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default" w:ascii="宋体" w:hAnsi="宋体" w:eastAsia="宋体" w:cs="宋体"/>
          <w:kern w:val="2"/>
          <w:sz w:val="24"/>
          <w:szCs w:val="24"/>
          <w:lang w:val="en-US" w:eastAsia="zh-CN" w:bidi="ar-SA"/>
        </w:rPr>
        <w:t>改革考核手段和方法，加强对学生日常行为的考核，考核学生通过本课程的学习，学生是否掌握了马克思主义中国化的理论成果，特别是对中国特色社会主义理论体系的理解。是否对国情、社情、民情、党情和世情有所了解，从而提高大学生的理论素养、提高分析问题解决问题的能力。</w:t>
      </w:r>
    </w:p>
    <w:p w14:paraId="0BE252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56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default" w:ascii="宋体" w:hAnsi="宋体" w:eastAsia="宋体" w:cs="宋体"/>
          <w:kern w:val="2"/>
          <w:sz w:val="24"/>
          <w:szCs w:val="24"/>
          <w:lang w:val="en-US" w:eastAsia="zh-CN" w:bidi="ar-SA"/>
        </w:rPr>
        <w:t>本课程的最终成绩以百分制计算。其中平时成绩占</w:t>
      </w:r>
      <w:r>
        <w:rPr>
          <w:rFonts w:hint="eastAsia" w:ascii="宋体" w:hAnsi="宋体" w:eastAsia="宋体" w:cs="宋体"/>
          <w:kern w:val="2"/>
          <w:sz w:val="24"/>
          <w:szCs w:val="24"/>
          <w:lang w:val="en-US" w:eastAsia="zh-CN" w:bidi="ar-SA"/>
        </w:rPr>
        <w:t>8</w:t>
      </w:r>
      <w:r>
        <w:rPr>
          <w:rFonts w:hint="default" w:ascii="宋体" w:hAnsi="宋体" w:eastAsia="宋体" w:cs="宋体"/>
          <w:kern w:val="2"/>
          <w:sz w:val="24"/>
          <w:szCs w:val="24"/>
          <w:lang w:val="en-US" w:eastAsia="zh-CN" w:bidi="ar-SA"/>
        </w:rPr>
        <w:t>0%,期末考试成绩占</w:t>
      </w:r>
      <w:r>
        <w:rPr>
          <w:rFonts w:hint="eastAsia" w:ascii="宋体" w:hAnsi="宋体" w:eastAsia="宋体" w:cs="宋体"/>
          <w:kern w:val="2"/>
          <w:sz w:val="24"/>
          <w:szCs w:val="24"/>
          <w:lang w:val="en-US" w:eastAsia="zh-CN" w:bidi="ar-SA"/>
        </w:rPr>
        <w:t>3</w:t>
      </w:r>
      <w:r>
        <w:rPr>
          <w:rFonts w:hint="default" w:ascii="宋体" w:hAnsi="宋体" w:eastAsia="宋体" w:cs="宋体"/>
          <w:kern w:val="2"/>
          <w:sz w:val="24"/>
          <w:szCs w:val="24"/>
          <w:lang w:val="en-US" w:eastAsia="zh-CN" w:bidi="ar-SA"/>
        </w:rPr>
        <w:t>0%。平时成绩包括出勤、课堂表现、作业和社会实践等内容。期末考试由</w:t>
      </w:r>
      <w:r>
        <w:rPr>
          <w:rFonts w:hint="eastAsia" w:ascii="宋体" w:hAnsi="宋体" w:eastAsia="宋体" w:cs="宋体"/>
          <w:kern w:val="2"/>
          <w:sz w:val="24"/>
          <w:szCs w:val="24"/>
          <w:lang w:val="en-US" w:eastAsia="zh-CN" w:bidi="ar-SA"/>
        </w:rPr>
        <w:t>思政部建立题库，教研室统一命题</w:t>
      </w:r>
      <w:r>
        <w:rPr>
          <w:rFonts w:hint="default" w:ascii="宋体" w:hAnsi="宋体" w:eastAsia="宋体" w:cs="宋体"/>
          <w:kern w:val="2"/>
          <w:sz w:val="24"/>
          <w:szCs w:val="24"/>
          <w:lang w:val="en-US" w:eastAsia="zh-CN" w:bidi="ar-SA"/>
        </w:rPr>
        <w:t>，实行闭卷</w:t>
      </w:r>
      <w:r>
        <w:rPr>
          <w:rFonts w:hint="eastAsia" w:ascii="宋体" w:hAnsi="宋体" w:eastAsia="宋体" w:cs="宋体"/>
          <w:kern w:val="2"/>
          <w:sz w:val="24"/>
          <w:szCs w:val="24"/>
          <w:lang w:val="en-US" w:eastAsia="zh-CN" w:bidi="ar-SA"/>
        </w:rPr>
        <w:t>线上</w:t>
      </w:r>
      <w:r>
        <w:rPr>
          <w:rFonts w:hint="default" w:ascii="宋体" w:hAnsi="宋体" w:eastAsia="宋体" w:cs="宋体"/>
          <w:kern w:val="2"/>
          <w:sz w:val="24"/>
          <w:szCs w:val="24"/>
          <w:lang w:val="en-US" w:eastAsia="zh-CN" w:bidi="ar-SA"/>
        </w:rPr>
        <w:t>考试，但试题在</w:t>
      </w:r>
      <w:r>
        <w:rPr>
          <w:rFonts w:hint="eastAsia" w:ascii="宋体" w:hAnsi="宋体" w:eastAsia="宋体" w:cs="宋体"/>
          <w:kern w:val="2"/>
          <w:sz w:val="24"/>
          <w:szCs w:val="24"/>
          <w:lang w:val="en-US" w:eastAsia="zh-CN" w:bidi="ar-SA"/>
        </w:rPr>
        <w:t>学校教务处</w:t>
      </w:r>
      <w:r>
        <w:rPr>
          <w:rFonts w:hint="default" w:ascii="宋体" w:hAnsi="宋体" w:eastAsia="宋体" w:cs="宋体"/>
          <w:kern w:val="2"/>
          <w:sz w:val="24"/>
          <w:szCs w:val="24"/>
          <w:lang w:val="en-US" w:eastAsia="zh-CN" w:bidi="ar-SA"/>
        </w:rPr>
        <w:t>备案。</w:t>
      </w:r>
    </w:p>
    <w:p w14:paraId="24E67F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56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default" w:ascii="宋体" w:hAnsi="宋体" w:eastAsia="宋体" w:cs="宋体"/>
          <w:kern w:val="2"/>
          <w:sz w:val="24"/>
          <w:szCs w:val="24"/>
          <w:lang w:val="en-US" w:eastAsia="zh-CN" w:bidi="ar-SA"/>
        </w:rPr>
        <w:t>下列考核内容除平时和期末所占比重固定之外，其他方面任课教师可以灵活掌握，不做硬性规定，但要保存好相关数据，如点名册，学生试卷等。</w:t>
      </w:r>
    </w:p>
    <w:tbl>
      <w:tblPr>
        <w:tblStyle w:val="3"/>
        <w:tblpPr w:leftFromText="180" w:rightFromText="180" w:vertAnchor="text" w:horzAnchor="page" w:tblpX="1819" w:tblpY="724"/>
        <w:tblOverlap w:val="neve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48"/>
        <w:gridCol w:w="1260"/>
        <w:gridCol w:w="716"/>
        <w:gridCol w:w="5281"/>
      </w:tblGrid>
      <w:tr w14:paraId="2F9EC6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08"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FAD83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项</w:t>
            </w:r>
            <w:r>
              <w:rPr>
                <w:rFonts w:hint="eastAsia" w:ascii="黑体" w:hAnsi="宋体" w:eastAsia="黑体" w:cs="黑体"/>
                <w:color w:val="000000"/>
                <w:kern w:val="0"/>
                <w:sz w:val="24"/>
                <w:szCs w:val="24"/>
                <w:lang w:val="en-US" w:eastAsia="zh-CN" w:bidi="ar"/>
              </w:rPr>
              <w:t xml:space="preserve">  </w:t>
            </w:r>
            <w:r>
              <w:rPr>
                <w:rFonts w:hint="default" w:ascii="黑体" w:hAnsi="宋体" w:eastAsia="黑体" w:cs="黑体"/>
                <w:color w:val="000000"/>
                <w:kern w:val="0"/>
                <w:sz w:val="24"/>
                <w:szCs w:val="24"/>
                <w:lang w:val="en-US" w:eastAsia="zh-CN" w:bidi="ar"/>
              </w:rPr>
              <w:t>目</w:t>
            </w:r>
          </w:p>
        </w:tc>
        <w:tc>
          <w:tcPr>
            <w:tcW w:w="71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62D66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核算</w:t>
            </w:r>
          </w:p>
          <w:p w14:paraId="33EDAA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权重</w:t>
            </w:r>
          </w:p>
        </w:tc>
        <w:tc>
          <w:tcPr>
            <w:tcW w:w="528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EC210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黑体" w:hAnsi="宋体" w:eastAsia="黑体" w:cs="黑体"/>
                <w:color w:val="000000"/>
                <w:kern w:val="0"/>
                <w:sz w:val="24"/>
                <w:szCs w:val="24"/>
                <w:lang w:val="en-US" w:eastAsia="zh-CN" w:bidi="ar"/>
              </w:rPr>
            </w:pPr>
            <w:r>
              <w:rPr>
                <w:rFonts w:hint="default" w:ascii="黑体" w:hAnsi="宋体" w:eastAsia="黑体" w:cs="黑体"/>
                <w:color w:val="000000"/>
                <w:kern w:val="0"/>
                <w:sz w:val="24"/>
                <w:szCs w:val="24"/>
                <w:lang w:val="en-US" w:eastAsia="zh-CN" w:bidi="ar"/>
              </w:rPr>
              <w:t>备</w:t>
            </w:r>
            <w:r>
              <w:rPr>
                <w:rFonts w:hint="eastAsia" w:ascii="黑体" w:hAnsi="宋体" w:eastAsia="黑体" w:cs="黑体"/>
                <w:color w:val="000000"/>
                <w:kern w:val="0"/>
                <w:sz w:val="24"/>
                <w:szCs w:val="24"/>
                <w:lang w:val="en-US" w:eastAsia="zh-CN" w:bidi="ar"/>
              </w:rPr>
              <w:t xml:space="preserve">  </w:t>
            </w:r>
            <w:r>
              <w:rPr>
                <w:rFonts w:hint="default" w:ascii="黑体" w:hAnsi="宋体" w:eastAsia="黑体" w:cs="黑体"/>
                <w:color w:val="000000"/>
                <w:kern w:val="0"/>
                <w:sz w:val="24"/>
                <w:szCs w:val="24"/>
                <w:lang w:val="en-US" w:eastAsia="zh-CN" w:bidi="ar"/>
              </w:rPr>
              <w:t>注</w:t>
            </w:r>
          </w:p>
        </w:tc>
      </w:tr>
      <w:tr w14:paraId="2AD4A9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24" w:hRule="atLeast"/>
        </w:trPr>
        <w:tc>
          <w:tcPr>
            <w:tcW w:w="104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1EFAF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sz w:val="24"/>
                <w:szCs w:val="24"/>
              </w:rPr>
            </w:pPr>
            <w:r>
              <w:rPr>
                <w:rFonts w:hint="eastAsia" w:ascii="宋体" w:hAnsi="宋体" w:eastAsia="宋体" w:cs="宋体"/>
                <w:kern w:val="0"/>
                <w:sz w:val="24"/>
                <w:szCs w:val="24"/>
                <w:lang w:val="en-US" w:eastAsia="zh-CN" w:bidi="ar"/>
              </w:rPr>
              <w:t>平时表现</w:t>
            </w:r>
          </w:p>
        </w:tc>
        <w:tc>
          <w:tcPr>
            <w:tcW w:w="126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361B9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考勤</w:t>
            </w:r>
          </w:p>
          <w:p w14:paraId="58834A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rFonts w:hint="default"/>
                <w:sz w:val="24"/>
                <w:szCs w:val="24"/>
                <w:lang w:val="en-US"/>
              </w:rPr>
            </w:pPr>
            <w:r>
              <w:rPr>
                <w:rFonts w:hint="eastAsia" w:ascii="宋体" w:hAnsi="宋体" w:eastAsia="宋体" w:cs="宋体"/>
                <w:kern w:val="0"/>
                <w:sz w:val="24"/>
                <w:szCs w:val="24"/>
                <w:lang w:val="en-US" w:eastAsia="zh-CN" w:bidi="ar"/>
              </w:rPr>
              <w:t>课上表现</w:t>
            </w:r>
          </w:p>
        </w:tc>
        <w:tc>
          <w:tcPr>
            <w:tcW w:w="71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E20E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sz w:val="24"/>
                <w:szCs w:val="24"/>
              </w:rPr>
            </w:pPr>
            <w:r>
              <w:rPr>
                <w:rFonts w:hint="eastAsia" w:ascii="宋体" w:hAnsi="宋体" w:eastAsia="宋体" w:cs="宋体"/>
                <w:kern w:val="0"/>
                <w:sz w:val="24"/>
                <w:szCs w:val="24"/>
                <w:lang w:val="en-US" w:eastAsia="zh-CN" w:bidi="ar"/>
              </w:rPr>
              <w:t>20</w:t>
            </w:r>
          </w:p>
        </w:tc>
        <w:tc>
          <w:tcPr>
            <w:tcW w:w="528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1994F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kern w:val="0"/>
                <w:sz w:val="24"/>
                <w:szCs w:val="24"/>
                <w:lang w:val="en-US" w:eastAsia="zh-CN" w:bidi="ar"/>
              </w:rPr>
              <w:t>每学期旷课三分之一以上者取消考试资格，迟到三次算作旷课一次。</w:t>
            </w:r>
          </w:p>
        </w:tc>
      </w:tr>
      <w:tr w14:paraId="2D787A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42" w:hRule="atLeast"/>
        </w:trPr>
        <w:tc>
          <w:tcPr>
            <w:tcW w:w="104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22889EC">
            <w:pPr>
              <w:jc w:val="center"/>
              <w:rPr>
                <w:rFonts w:hint="eastAsia" w:ascii="宋体"/>
                <w:sz w:val="24"/>
                <w:szCs w:val="24"/>
              </w:rPr>
            </w:pPr>
          </w:p>
        </w:tc>
        <w:tc>
          <w:tcPr>
            <w:tcW w:w="126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8AAF2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rFonts w:hint="default"/>
                <w:sz w:val="24"/>
                <w:szCs w:val="24"/>
                <w:lang w:val="en-US"/>
              </w:rPr>
            </w:pPr>
            <w:r>
              <w:rPr>
                <w:rFonts w:hint="eastAsia" w:ascii="宋体" w:hAnsi="宋体" w:eastAsia="宋体" w:cs="宋体"/>
                <w:kern w:val="0"/>
                <w:sz w:val="24"/>
                <w:szCs w:val="24"/>
                <w:lang w:val="en-US" w:eastAsia="zh-CN" w:bidi="ar"/>
              </w:rPr>
              <w:t>线上习题</w:t>
            </w:r>
          </w:p>
        </w:tc>
        <w:tc>
          <w:tcPr>
            <w:tcW w:w="71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23FC4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sz w:val="24"/>
                <w:szCs w:val="24"/>
              </w:rPr>
            </w:pPr>
            <w:r>
              <w:rPr>
                <w:rFonts w:hint="eastAsia" w:ascii="宋体" w:hAnsi="宋体" w:eastAsia="宋体" w:cs="宋体"/>
                <w:kern w:val="0"/>
                <w:sz w:val="24"/>
                <w:szCs w:val="24"/>
                <w:lang w:val="en-US" w:eastAsia="zh-CN" w:bidi="ar"/>
              </w:rPr>
              <w:t>10</w:t>
            </w:r>
          </w:p>
        </w:tc>
        <w:tc>
          <w:tcPr>
            <w:tcW w:w="528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85381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sz w:val="24"/>
                <w:szCs w:val="24"/>
                <w:lang w:val="en-US"/>
              </w:rPr>
            </w:pPr>
            <w:r>
              <w:rPr>
                <w:rFonts w:hint="eastAsia" w:ascii="宋体" w:hAnsi="宋体" w:eastAsia="宋体" w:cs="宋体"/>
                <w:kern w:val="0"/>
                <w:sz w:val="24"/>
                <w:szCs w:val="24"/>
                <w:lang w:val="en-US" w:eastAsia="zh-CN" w:bidi="ar"/>
              </w:rPr>
              <w:t>每个教学专题结束后，课后有专门的配套习题，通过职教云平台采用作业的形式发给学生，规定时间内完成。</w:t>
            </w:r>
          </w:p>
        </w:tc>
      </w:tr>
      <w:tr w14:paraId="789681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41" w:hRule="atLeast"/>
        </w:trPr>
        <w:tc>
          <w:tcPr>
            <w:tcW w:w="104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ADCAC0A">
            <w:pPr>
              <w:jc w:val="center"/>
              <w:rPr>
                <w:rFonts w:hint="eastAsia" w:ascii="宋体"/>
                <w:sz w:val="24"/>
                <w:szCs w:val="24"/>
              </w:rPr>
            </w:pPr>
          </w:p>
        </w:tc>
        <w:tc>
          <w:tcPr>
            <w:tcW w:w="126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69B56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课内实践</w:t>
            </w:r>
          </w:p>
          <w:p w14:paraId="1C5AF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rFonts w:hint="default"/>
                <w:sz w:val="24"/>
                <w:szCs w:val="24"/>
                <w:lang w:val="en-US"/>
              </w:rPr>
            </w:pPr>
            <w:r>
              <w:rPr>
                <w:rFonts w:hint="eastAsia" w:ascii="宋体" w:hAnsi="宋体" w:eastAsia="宋体" w:cs="宋体"/>
                <w:kern w:val="0"/>
                <w:sz w:val="24"/>
                <w:szCs w:val="24"/>
                <w:lang w:val="en-US" w:eastAsia="zh-CN" w:bidi="ar"/>
              </w:rPr>
              <w:t>课外实践</w:t>
            </w:r>
          </w:p>
        </w:tc>
        <w:tc>
          <w:tcPr>
            <w:tcW w:w="71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F10EE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sz w:val="24"/>
                <w:szCs w:val="24"/>
              </w:rPr>
            </w:pPr>
            <w:r>
              <w:rPr>
                <w:rFonts w:hint="eastAsia" w:ascii="宋体" w:hAnsi="宋体" w:eastAsia="宋体" w:cs="宋体"/>
                <w:kern w:val="0"/>
                <w:sz w:val="24"/>
                <w:szCs w:val="24"/>
                <w:lang w:val="en-US" w:eastAsia="zh-CN" w:bidi="ar"/>
              </w:rPr>
              <w:t>40</w:t>
            </w:r>
          </w:p>
        </w:tc>
        <w:tc>
          <w:tcPr>
            <w:tcW w:w="528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F30CB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kern w:val="0"/>
                <w:sz w:val="24"/>
                <w:szCs w:val="24"/>
                <w:lang w:val="en-US" w:eastAsia="zh-CN" w:bidi="ar"/>
              </w:rPr>
              <w:t>按照课程课内实践实施方案，选题、演讲，积极参与课堂互动。</w:t>
            </w:r>
          </w:p>
        </w:tc>
      </w:tr>
      <w:tr w14:paraId="1ABBBE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84" w:hRule="atLeast"/>
        </w:trPr>
        <w:tc>
          <w:tcPr>
            <w:tcW w:w="104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0E7A2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sz w:val="24"/>
                <w:szCs w:val="24"/>
              </w:rPr>
            </w:pPr>
            <w:r>
              <w:rPr>
                <w:rFonts w:hint="eastAsia" w:ascii="宋体" w:hAnsi="宋体" w:eastAsia="宋体" w:cs="宋体"/>
                <w:kern w:val="0"/>
                <w:sz w:val="24"/>
                <w:szCs w:val="24"/>
                <w:lang w:val="en-US" w:eastAsia="zh-CN" w:bidi="ar"/>
              </w:rPr>
              <w:t>期末考试</w:t>
            </w:r>
          </w:p>
        </w:tc>
        <w:tc>
          <w:tcPr>
            <w:tcW w:w="126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AC95F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线上统一</w:t>
            </w:r>
          </w:p>
          <w:p w14:paraId="478D51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sz w:val="24"/>
                <w:szCs w:val="24"/>
              </w:rPr>
            </w:pPr>
            <w:r>
              <w:rPr>
                <w:rFonts w:hint="eastAsia" w:ascii="宋体" w:hAnsi="宋体" w:eastAsia="宋体" w:cs="宋体"/>
                <w:kern w:val="0"/>
                <w:sz w:val="24"/>
                <w:szCs w:val="24"/>
                <w:lang w:val="en-US" w:eastAsia="zh-CN" w:bidi="ar"/>
              </w:rPr>
              <w:t>命题考试</w:t>
            </w:r>
          </w:p>
        </w:tc>
        <w:tc>
          <w:tcPr>
            <w:tcW w:w="71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A1A1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sz w:val="24"/>
                <w:szCs w:val="24"/>
              </w:rPr>
            </w:pPr>
            <w:r>
              <w:rPr>
                <w:rFonts w:hint="eastAsia" w:ascii="宋体" w:hAnsi="宋体" w:eastAsia="宋体" w:cs="宋体"/>
                <w:kern w:val="0"/>
                <w:sz w:val="24"/>
                <w:szCs w:val="24"/>
                <w:lang w:val="en-US" w:eastAsia="zh-CN" w:bidi="ar"/>
              </w:rPr>
              <w:t>30</w:t>
            </w:r>
          </w:p>
        </w:tc>
        <w:tc>
          <w:tcPr>
            <w:tcW w:w="528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7AD21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kern w:val="0"/>
                <w:sz w:val="24"/>
                <w:szCs w:val="24"/>
                <w:lang w:val="en-US" w:eastAsia="zh-CN" w:bidi="ar"/>
              </w:rPr>
              <w:t>重在考核学生以理论认识问题和分析问题的能力。</w:t>
            </w:r>
          </w:p>
        </w:tc>
      </w:tr>
    </w:tbl>
    <w:p w14:paraId="6625C1E9">
      <w:pPr>
        <w:spacing w:line="360" w:lineRule="auto"/>
        <w:jc w:val="left"/>
        <w:rPr>
          <w:rFonts w:hint="default" w:ascii="宋体" w:hAnsi="宋体" w:eastAsia="宋体" w:cs="宋体"/>
          <w:kern w:val="2"/>
          <w:sz w:val="24"/>
          <w:szCs w:val="24"/>
          <w:lang w:val="en-US" w:eastAsia="zh-CN" w:bidi="ar-SA"/>
        </w:rPr>
      </w:pPr>
    </w:p>
    <w:p w14:paraId="51C840DF">
      <w:pPr>
        <w:pStyle w:val="6"/>
        <w:rPr>
          <w:rFonts w:hint="default" w:ascii="宋体" w:hAnsi="宋体" w:eastAsia="宋体" w:cs="宋体"/>
          <w:kern w:val="2"/>
          <w:sz w:val="24"/>
          <w:szCs w:val="24"/>
          <w:lang w:val="en-US" w:eastAsia="zh-CN" w:bidi="ar-SA"/>
        </w:rPr>
      </w:pPr>
    </w:p>
    <w:p w14:paraId="5518DB73">
      <w:pPr>
        <w:jc w:val="left"/>
        <w:rPr>
          <w:rFonts w:hint="eastAsia" w:ascii="宋体" w:hAnsi="宋体" w:eastAsia="宋体" w:cs="宋体"/>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ADB793"/>
    <w:multiLevelType w:val="singleLevel"/>
    <w:tmpl w:val="1CADB793"/>
    <w:lvl w:ilvl="0" w:tentative="0">
      <w:start w:val="2"/>
      <w:numFmt w:val="chineseCounting"/>
      <w:suff w:val="nothing"/>
      <w:lvlText w:val="（%1）"/>
      <w:lvlJc w:val="left"/>
      <w:pPr>
        <w:ind w:left="60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332920C9"/>
    <w:rsid w:val="101150DB"/>
    <w:rsid w:val="332920C9"/>
    <w:rsid w:val="57C02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59"/>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Default"/>
    <w:unhideWhenUsed/>
    <w:qFormat/>
    <w:uiPriority w:val="99"/>
    <w:pPr>
      <w:widowControl w:val="0"/>
      <w:autoSpaceDE w:val="0"/>
      <w:autoSpaceDN w:val="0"/>
      <w:adjustRightInd w:val="0"/>
    </w:pPr>
    <w:rPr>
      <w:rFonts w:hint="eastAsia" w:ascii="黑体" w:hAnsi="黑体" w:eastAsia="黑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5125</Words>
  <Characters>5187</Characters>
  <Lines>0</Lines>
  <Paragraphs>0</Paragraphs>
  <TotalTime>4</TotalTime>
  <ScaleCrop>false</ScaleCrop>
  <LinksUpToDate>false</LinksUpToDate>
  <CharactersWithSpaces>5231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2024-07-16T15:44:00Z</dcterms:created>
  <dc:creator>马宁</dc:creator>
  <cp:lastModifiedBy>马宁</cp:lastModifiedBy>
  <dcterms:modified xsi:type="dcterms:W3CDTF">2024-07-19T02:18:00Z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C996EEA68E884F52A337EE8B889321BD_11</vt:lpwstr>
  </property>
</Properties>
</file>